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关于聚焦“三区两镇”创新</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财政</w:t>
      </w:r>
      <w:r>
        <w:rPr>
          <w:rFonts w:hint="default" w:ascii="Times New Roman" w:hAnsi="Times New Roman" w:eastAsia="方正小标宋简体" w:cs="Times New Roman"/>
          <w:sz w:val="36"/>
          <w:szCs w:val="36"/>
          <w:highlight w:val="none"/>
        </w:rPr>
        <w:t>政策</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rPr>
        <w:t>提档赋能区域发展的若干意见</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eastAsia="zh-CN"/>
          <w14:textFill>
            <w14:solidFill>
              <w14:schemeClr w14:val="tx1"/>
            </w14:solidFill>
          </w14:textFill>
        </w:rPr>
        <w:t>征求意见</w:t>
      </w:r>
      <w:r>
        <w:rPr>
          <w:rFonts w:hint="default" w:ascii="Times New Roman" w:hAnsi="Times New Roman" w:cs="Times New Roman"/>
          <w:color w:val="000000" w:themeColor="text1"/>
          <w:highlight w:val="none"/>
          <w14:textFill>
            <w14:solidFill>
              <w14:schemeClr w14:val="tx1"/>
            </w14:solidFill>
          </w14:textFill>
        </w:rPr>
        <w:t>稿）</w:t>
      </w:r>
    </w:p>
    <w:p>
      <w:pPr>
        <w:keepNext w:val="0"/>
        <w:keepLines w:val="0"/>
        <w:pageBreakBefore w:val="0"/>
        <w:kinsoku/>
        <w:wordWrap/>
        <w:overflowPunct/>
        <w:topLinePunct w:val="0"/>
        <w:autoSpaceDE/>
        <w:autoSpaceDN/>
        <w:bidi w:val="0"/>
        <w:adjustRightInd/>
        <w:snapToGrid/>
        <w:spacing w:line="560" w:lineRule="exact"/>
        <w:ind w:firstLine="723"/>
        <w:jc w:val="center"/>
        <w:rPr>
          <w:rFonts w:hint="default" w:ascii="Times New Roman" w:hAnsi="Times New Roman" w:eastAsia="方正小标宋简体" w:cs="Times New Roman"/>
          <w:b/>
          <w:bCs/>
          <w:sz w:val="36"/>
          <w:szCs w:val="36"/>
          <w:highlight w:val="none"/>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szCs w:val="30"/>
          <w:highlight w:val="none"/>
        </w:rPr>
      </w:pPr>
      <w:r>
        <w:rPr>
          <w:rFonts w:hint="default" w:ascii="Times New Roman" w:hAnsi="Times New Roman" w:eastAsia="黑体" w:cs="Times New Roman"/>
          <w:szCs w:val="30"/>
          <w:highlight w:val="none"/>
        </w:rPr>
        <w:t>一、主要背景和意义</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奉贤南部以柘林镇、海湾镇行政管辖区域为组团的区域，简称“三区两镇”。</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三区两镇”坐拥特色产业园区、滨海旅游度假区、大学城、国家森林公园、全市最长的优质生态和生活岸线等各类稀缺资源，在当前自贸区新片区国家战略、上海“五大新城”、乡村振兴等多重发展战略叠加的背景下，围绕上海“五</w:t>
      </w:r>
      <w:bookmarkStart w:id="0" w:name="_GoBack"/>
      <w:bookmarkEnd w:id="0"/>
      <w:r>
        <w:rPr>
          <w:rFonts w:hint="default" w:ascii="Times New Roman" w:hAnsi="Times New Roman" w:cs="Times New Roman"/>
          <w:szCs w:val="30"/>
          <w:highlight w:val="none"/>
        </w:rPr>
        <w:t>个中心”和社会主义现代化国际大都市总要求，加强资源统筹、提升地区发展站位，明确发展功能定位、优化“三生”空间格局，衔接空间规划、联动奉贤新城，打造具有国际品位的产城融合滨海“新”区，成为奉贤区未来能级提升重要发力点，继自贸区新片区（奉贤区域）、奉贤新城之后的未来发展战略空间“第三极”。</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为此，在市、区、镇三级政府财权事权相一致、支出责任相匹配的原则下，提出以下相关意见，推动加快“三区两镇”的总体发展。</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szCs w:val="30"/>
          <w:highlight w:val="none"/>
        </w:rPr>
      </w:pPr>
      <w:r>
        <w:rPr>
          <w:rFonts w:hint="default" w:ascii="Times New Roman" w:hAnsi="Times New Roman" w:eastAsia="黑体" w:cs="Times New Roman"/>
          <w:szCs w:val="30"/>
          <w:highlight w:val="none"/>
        </w:rPr>
        <w:t>二、优先发展重点功能板块</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（一）产业板块：</w:t>
      </w:r>
      <w:r>
        <w:rPr>
          <w:rFonts w:hint="default" w:ascii="Times New Roman" w:hAnsi="Times New Roman" w:cs="Times New Roman"/>
          <w:szCs w:val="30"/>
          <w:highlight w:val="none"/>
        </w:rPr>
        <w:t>杭州湾产业园区、上海化工区“双区联动”新化工、新材料特色产业功能板块、星火开发区产业转型升级功能板块、海湾大学城及大学科技园“双创、转化、产学、产教”特色科创功能板块、临港“蓝湾”新能源汽车、生物医药特色产业板块等。</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（二）城市板块：</w:t>
      </w:r>
      <w:r>
        <w:rPr>
          <w:rFonts w:hint="default" w:ascii="Times New Roman" w:hAnsi="Times New Roman" w:cs="Times New Roman"/>
          <w:szCs w:val="30"/>
          <w:highlight w:val="none"/>
        </w:rPr>
        <w:t>海湾旅游区“产城融合、以城引产”特色城市板块、海湾大学城特色“科创小镇”板块、柘林镇新寺社区“以产助城、产城协同”特色城市板块、海湾镇临港“蓝湾”未来国际化社区、海湾镇星火区域新型“产业小镇”板块等。</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（三）乡村及文博旅体功能叠加板块：</w:t>
      </w:r>
      <w:r>
        <w:rPr>
          <w:rFonts w:hint="default" w:ascii="Times New Roman" w:hAnsi="Times New Roman" w:cs="Times New Roman"/>
          <w:szCs w:val="30"/>
          <w:highlight w:val="none"/>
        </w:rPr>
        <w:t>“海国长城”“上海渔村”“江海大关”“碧海金沙”、海湾文旅体育特色小镇等新江南文化、传统乡土文化、千年历史文博、现代国际都市文明、未来海洋文明等空间融合、功能复合特色板块。</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szCs w:val="30"/>
          <w:highlight w:val="none"/>
        </w:rPr>
      </w:pPr>
      <w:r>
        <w:rPr>
          <w:rFonts w:hint="default" w:ascii="Times New Roman" w:hAnsi="Times New Roman" w:eastAsia="黑体" w:cs="Times New Roman"/>
          <w:szCs w:val="30"/>
          <w:highlight w:val="none"/>
        </w:rPr>
        <w:t>三、发展目标</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（一）产业发展转型升级。</w:t>
      </w:r>
      <w:r>
        <w:rPr>
          <w:rFonts w:hint="default" w:ascii="Times New Roman" w:hAnsi="Times New Roman" w:cs="Times New Roman"/>
          <w:szCs w:val="30"/>
          <w:highlight w:val="none"/>
        </w:rPr>
        <w:t>推动“三区两镇”的产业结构调整和升级，推进特色产业做强做优，传统产业转型升级，新兴产业积厚成势，实现高端产业规模稳步增长，创新创业生态逐步完善，产业发展环境不断优化。</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（二）基础设施加速提质。</w:t>
      </w:r>
      <w:r>
        <w:rPr>
          <w:rFonts w:hint="default" w:ascii="Times New Roman" w:hAnsi="Times New Roman" w:cs="Times New Roman"/>
          <w:szCs w:val="30"/>
          <w:highlight w:val="none"/>
        </w:rPr>
        <w:t>加大基础设施建设投资力度，加强区域各类设施的互通互联，提升并完善交通、水利、供电、通信等各类配套设施，完善“三区两镇”发展的基础条件，发挥综合区位优势，支撑奉贤成为上海南部服务长三角区域“东接西引、北联南通”的枢纽型城市。</w:t>
      </w:r>
    </w:p>
    <w:p>
      <w:pPr>
        <w:pStyle w:val="37"/>
        <w:keepNext w:val="0"/>
        <w:keepLines w:val="0"/>
        <w:pageBreakBefore w:val="0"/>
        <w:kinsoku/>
        <w:wordWrap/>
        <w:overflowPunct/>
        <w:topLinePunct w:val="0"/>
        <w:autoSpaceDE/>
        <w:autoSpaceDN/>
        <w:bidi w:val="0"/>
        <w:adjustRightInd/>
        <w:snapToGrid/>
        <w:spacing w:line="560" w:lineRule="exact"/>
        <w:ind w:firstLine="602" w:firstLineChars="200"/>
        <w:rPr>
          <w:rFonts w:hint="default" w:ascii="Times New Roman" w:hAnsi="Times New Roman" w:eastAsia="仿宋_GB2312" w:cs="Times New Roman"/>
          <w:sz w:val="30"/>
          <w:szCs w:val="30"/>
          <w:highlight w:val="none"/>
        </w:rPr>
      </w:pPr>
      <w:r>
        <w:rPr>
          <w:rFonts w:hint="default" w:ascii="Times New Roman" w:hAnsi="Times New Roman" w:eastAsia="楷体_GB2312" w:cs="Times New Roman"/>
          <w:b/>
          <w:bCs/>
          <w:color w:val="000000" w:themeColor="text1"/>
          <w:sz w:val="30"/>
          <w:szCs w:val="30"/>
          <w:highlight w:val="none"/>
          <w14:textFill>
            <w14:solidFill>
              <w14:schemeClr w14:val="tx1"/>
            </w14:solidFill>
          </w14:textFill>
        </w:rPr>
        <w:t>（三）城市功能更新提升。</w:t>
      </w:r>
      <w:r>
        <w:rPr>
          <w:rFonts w:hint="default" w:ascii="Times New Roman" w:hAnsi="Times New Roman" w:eastAsia="仿宋_GB2312" w:cs="Times New Roman"/>
          <w:sz w:val="30"/>
          <w:szCs w:val="30"/>
          <w:highlight w:val="none"/>
        </w:rPr>
        <w:t>加强教育、医疗、文化、体育等公共服务设施建设，进一步加快引入高能级公共服务设施，加强生活及生产服务配套功能，实现产城融合发展的目标。联动奉贤新城形成“一北一南”两个发展极，滨海地区的特色功能面向整个上海市域，成为服务上海南部地区提档升级的特色功能核心片区。</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（四）科技创新凸显活力。</w:t>
      </w:r>
      <w:r>
        <w:rPr>
          <w:rFonts w:hint="default" w:ascii="Times New Roman" w:hAnsi="Times New Roman" w:cs="Times New Roman"/>
          <w:szCs w:val="30"/>
          <w:highlight w:val="none"/>
        </w:rPr>
        <w:t>落实高水平创新驱动，充分发挥海湾大学城教育研发创新要素，联动自贸区新片区（奉贤区域）、上海化工区、海湾大学城及大学科技园、奉贤新城、东方美谷、杭州湾开发区，打造区域产学研创新产业格局。将“三区两镇”打造成为奉贤继新城之后的未来动力源，成为创新创业聚集的活力湾区。</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（五）文旅融合提质赋能。</w:t>
      </w:r>
      <w:r>
        <w:rPr>
          <w:rFonts w:hint="default" w:ascii="Times New Roman" w:hAnsi="Times New Roman" w:cs="Times New Roman"/>
          <w:szCs w:val="30"/>
          <w:highlight w:val="none"/>
        </w:rPr>
        <w:t>充分挖掘“三区两镇”区域乡土文化、文博旅游要素丰富多元、发展基础好、优良品级文旅资源聚集的优势，依托依港傍海的地理位置，大力发展城市文旅体娱功能，打造宜居宜业宜游的城市组团。</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szCs w:val="30"/>
          <w:highlight w:val="none"/>
        </w:rPr>
      </w:pPr>
      <w:r>
        <w:rPr>
          <w:rFonts w:hint="default" w:ascii="Times New Roman" w:hAnsi="Times New Roman" w:eastAsia="黑体" w:cs="Times New Roman"/>
          <w:szCs w:val="30"/>
          <w:highlight w:val="none"/>
        </w:rPr>
        <w:t>四、支持原则</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（一）政策聚焦。</w:t>
      </w:r>
      <w:r>
        <w:rPr>
          <w:rFonts w:hint="default" w:ascii="Times New Roman" w:hAnsi="Times New Roman" w:cs="Times New Roman"/>
          <w:szCs w:val="30"/>
          <w:highlight w:val="none"/>
        </w:rPr>
        <w:t>将“三区两镇”，特别是重点功能板块作为奉贤区未来重点发展空间，注重政策聚焦，形成协同效应。推动要素资源、政务资源、服务资源等向重点区块、优质产业等集中集聚，加大政策扶持力度、创新政策扶持方式。</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（二）三级合力。</w:t>
      </w:r>
      <w:r>
        <w:rPr>
          <w:rFonts w:hint="default" w:ascii="Times New Roman" w:hAnsi="Times New Roman" w:cs="Times New Roman"/>
          <w:szCs w:val="30"/>
          <w:highlight w:val="none"/>
        </w:rPr>
        <w:t>市、区、镇三级政策和资金形成合力，共同推动“三区两镇”发展。注重区级、镇级政策与国家、市级政策的功能对接、梯度衔接，形成政策“接力棒”，提升政策实施的可及性、有效性。加强区级部门联动，切实形成政策合力，提升政策供给的系统性、全面性。</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（三）政企携进。</w:t>
      </w:r>
      <w:r>
        <w:rPr>
          <w:rFonts w:hint="default" w:ascii="Times New Roman" w:hAnsi="Times New Roman" w:cs="Times New Roman"/>
          <w:szCs w:val="30"/>
          <w:highlight w:val="none"/>
        </w:rPr>
        <w:t>充分发挥政府有序引导和规范发展的作用，引导社会资本参与“三区两镇”，特别是重点功能板块的开发建设，构建政府和社会共同推动的新型发展模式。</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（四）产学协同。</w:t>
      </w:r>
      <w:r>
        <w:rPr>
          <w:rFonts w:hint="default" w:ascii="Times New Roman" w:hAnsi="Times New Roman" w:cs="Times New Roman"/>
          <w:szCs w:val="30"/>
          <w:highlight w:val="none"/>
        </w:rPr>
        <w:t>通过政府政策引导和搭建平台，推动产学研协同创新，以创新资源共享、优势互补为基础，政府、高校、企业共同开展科技创新、推进成果转化，各方助力区域科技、产业、城市相互赋能、共生共长。</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（五）空间融合。</w:t>
      </w:r>
      <w:r>
        <w:rPr>
          <w:rFonts w:hint="default" w:ascii="Times New Roman" w:hAnsi="Times New Roman" w:cs="Times New Roman"/>
          <w:szCs w:val="30"/>
          <w:highlight w:val="none"/>
        </w:rPr>
        <w:t>优化“三区两镇”产城融合配比，用好用足各类规划土地资源，提供多样的科研创业、生活服务以及生产制造空间，形成有机联系，打造产城融合、资源共享的创新“新”区。</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szCs w:val="30"/>
          <w:highlight w:val="none"/>
        </w:rPr>
      </w:pPr>
      <w:r>
        <w:rPr>
          <w:rFonts w:hint="default" w:ascii="Times New Roman" w:hAnsi="Times New Roman" w:eastAsia="黑体" w:cs="Times New Roman"/>
          <w:szCs w:val="30"/>
          <w:highlight w:val="none"/>
        </w:rPr>
        <w:t>五、重点支持领域</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（一）产业支撑。</w:t>
      </w:r>
      <w:r>
        <w:rPr>
          <w:rFonts w:hint="default" w:ascii="Times New Roman" w:hAnsi="Times New Roman" w:cs="Times New Roman"/>
          <w:szCs w:val="30"/>
          <w:highlight w:val="none"/>
        </w:rPr>
        <w:t>加快推进“三区两镇”区域的产业转型升级，支持制造业应用技术创新，推动产业结构优化、企业质量提升、经济密度提高，加快产业向价值链中高端迈进，夯实实体经济发展基础。引导金融机构入驻“三区两镇”区域，引导金融与产业融合发展。</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（二）功能配套。</w:t>
      </w:r>
      <w:r>
        <w:rPr>
          <w:rFonts w:hint="default" w:ascii="Times New Roman" w:hAnsi="Times New Roman" w:cs="Times New Roman"/>
          <w:szCs w:val="30"/>
          <w:highlight w:val="none"/>
        </w:rPr>
        <w:t>加大对“三区两镇”区域基础设施建设及新基建等的投入，加快教育、文化、卫生、体育、抚育、养老等领域社会公益事业项目建设，提高城市功能配套水平，为“三区两镇”发展提供良好的城市功能环境，有效改善群众普遍关注的社会民生问题，不断增强人民群众获得感、幸福感、安全感。</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（三）科技创新。</w:t>
      </w:r>
      <w:r>
        <w:rPr>
          <w:rFonts w:hint="default" w:ascii="Times New Roman" w:hAnsi="Times New Roman" w:cs="Times New Roman"/>
          <w:szCs w:val="30"/>
          <w:highlight w:val="none"/>
        </w:rPr>
        <w:t>对在“三区两镇”区域内企事业单位进行高新技术产业化、科技攻关、技术创新、产学研合作、科技创新等项目的实施及创新成果的转移转化给予政策扶持。</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（四）人才汇聚。</w:t>
      </w:r>
      <w:r>
        <w:rPr>
          <w:rFonts w:hint="default" w:ascii="Times New Roman" w:hAnsi="Times New Roman" w:cs="Times New Roman"/>
          <w:szCs w:val="30"/>
          <w:highlight w:val="none"/>
        </w:rPr>
        <w:t>通过落户优惠、人才公寓、优先购房、薪酬奖励、出入境便利、工作许可便利、个调税奖补、就医就学便利等组合式政策，加大国际国内人才的引进力度，持续做好系列人才招引留用政策兑现。</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（五）乡村振兴。</w:t>
      </w:r>
      <w:r>
        <w:rPr>
          <w:rFonts w:hint="default" w:ascii="Times New Roman" w:hAnsi="Times New Roman" w:cs="Times New Roman"/>
          <w:szCs w:val="30"/>
          <w:highlight w:val="none"/>
        </w:rPr>
        <w:t>坚持乡村振兴战略与新型城镇化战略协调推进，通过“三园工程”、农民宅基地有序流转、农村集体经营性建设用地入市等路径，加快推进城乡一体化发展。</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（六）宜居宜游。</w:t>
      </w:r>
      <w:r>
        <w:rPr>
          <w:rFonts w:hint="default" w:ascii="Times New Roman" w:hAnsi="Times New Roman" w:cs="Times New Roman"/>
          <w:szCs w:val="30"/>
          <w:highlight w:val="none"/>
        </w:rPr>
        <w:t>依托“三区两镇”区域优势，加强绿、水、林、田、滩、海等生态环境建设，实现生态、经济和社会的融合，推动可持续发展。充分发挥乡土文化、历史文博引领作用，发挥文旅重大项目的杠杆效应，全力构建“新江南、南海派、贤乡土、国际范、海洋风”文旅发展格局。</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（七）社会治理。</w:t>
      </w:r>
      <w:r>
        <w:rPr>
          <w:rFonts w:hint="default" w:ascii="Times New Roman" w:hAnsi="Times New Roman" w:cs="Times New Roman"/>
          <w:szCs w:val="30"/>
          <w:highlight w:val="none"/>
        </w:rPr>
        <w:t>针对“三区两镇”大学城、化工区、部队、边海防、城乡社区等多元化社会治理要求，加强社会治理政策和资金支持，加快推进科技化、智能化、信息化社会治理。</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szCs w:val="30"/>
          <w:highlight w:val="none"/>
        </w:rPr>
      </w:pPr>
      <w:r>
        <w:rPr>
          <w:rFonts w:hint="default" w:ascii="Times New Roman" w:hAnsi="Times New Roman" w:eastAsia="黑体" w:cs="Times New Roman"/>
          <w:szCs w:val="30"/>
          <w:highlight w:val="none"/>
        </w:rPr>
        <w:t>六、具体推进政策措施</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为便于资金统筹和协调，突出聚焦“三区两镇”政策导向，用于支持“三区两镇”区域的基础设施建设、产业发展、企业扶持、社会事业配套等领域的现有区级财政扶持政策维持现有体制机制不变，区镇两级财权和支出责任划分不变，资金统一纳入“三区两镇”专项发展资金总体框架，实现“总体集成、分项独立、同向发力、叠加赋能”。初始专项资金额度规模设定为</w:t>
      </w:r>
      <w:r>
        <w:rPr>
          <w:rFonts w:hint="default" w:cs="Times New Roman"/>
          <w:szCs w:val="30"/>
          <w:highlight w:val="none"/>
          <w:lang w:val="en-US"/>
        </w:rPr>
        <w:t>10</w:t>
      </w:r>
      <w:r>
        <w:rPr>
          <w:rFonts w:hint="default" w:ascii="Times New Roman" w:hAnsi="Times New Roman" w:cs="Times New Roman"/>
          <w:szCs w:val="30"/>
          <w:highlight w:val="none"/>
        </w:rPr>
        <w:t>亿元，覆盖期限自2023年至2025年。今后，视发展需要动态调整额度规模，优化具体分项资金政策，完善政策体制。</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楷体_GB2312" w:cs="Times New Roman"/>
          <w:b/>
          <w:bCs/>
          <w:color w:val="000000" w:themeColor="text1"/>
          <w:szCs w:val="30"/>
          <w:highlight w:val="none"/>
          <w14:textFill>
            <w14:solidFill>
              <w14:schemeClr w14:val="tx1"/>
            </w14:solidFill>
          </w14:textFill>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（一）多举措加大建设投资力度</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02"/>
        <w:jc w:val="both"/>
        <w:textAlignment w:val="top"/>
        <w:rPr>
          <w:rFonts w:hint="default" w:ascii="Times New Roman" w:hAnsi="Times New Roman" w:eastAsia="仿宋_GB2312" w:cs="Times New Roman"/>
          <w:b/>
          <w:bCs/>
          <w:kern w:val="2"/>
          <w:sz w:val="30"/>
          <w:szCs w:val="30"/>
          <w:highlight w:val="none"/>
        </w:rPr>
      </w:pPr>
      <w:r>
        <w:rPr>
          <w:rFonts w:hint="default" w:ascii="Times New Roman" w:hAnsi="Times New Roman" w:eastAsia="仿宋_GB2312" w:cs="Times New Roman"/>
          <w:b/>
          <w:bCs/>
          <w:kern w:val="2"/>
          <w:sz w:val="30"/>
          <w:szCs w:val="30"/>
          <w:highlight w:val="none"/>
        </w:rPr>
        <w:t>1.加快政府投资和国有资本投入</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top"/>
        <w:rPr>
          <w:rFonts w:hint="default" w:ascii="Times New Roman" w:hAnsi="Times New Roman" w:eastAsia="仿宋_GB2312" w:cs="Times New Roman"/>
          <w:kern w:val="2"/>
          <w:sz w:val="30"/>
          <w:szCs w:val="30"/>
          <w:highlight w:val="none"/>
        </w:rPr>
      </w:pPr>
      <w:r>
        <w:rPr>
          <w:rFonts w:hint="default" w:ascii="Times New Roman" w:hAnsi="Times New Roman" w:eastAsia="仿宋_GB2312" w:cs="Times New Roman"/>
          <w:kern w:val="2"/>
          <w:sz w:val="30"/>
          <w:szCs w:val="30"/>
          <w:highlight w:val="none"/>
        </w:rPr>
        <w:t>针对“三区两镇”建设，围绕区域发展需要，在基础设施、水利、农业、社会事业、文旅等领域筛选实施一批重大工程项目，完善协调联动机制，分领域、分节点加强调度，加快推进建设。依托重大建设项目库，编制三年滚动投资计划，储备更多项目，形成接续不断、滚动实施的储备机制和良性循环。统筹安排各级财政投资和国资投入，加大各类政府性资金的整合和投入力度。</w:t>
      </w:r>
    </w:p>
    <w:p>
      <w:pPr>
        <w:keepNext w:val="0"/>
        <w:keepLines w:val="0"/>
        <w:pageBreakBefore w:val="0"/>
        <w:kinsoku/>
        <w:wordWrap/>
        <w:overflowPunct/>
        <w:topLinePunct w:val="0"/>
        <w:autoSpaceDE/>
        <w:autoSpaceDN/>
        <w:bidi w:val="0"/>
        <w:adjustRightInd/>
        <w:snapToGrid/>
        <w:spacing w:line="560" w:lineRule="exact"/>
        <w:ind w:firstLine="602"/>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2.加大政府债券的支持力度</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以重点项目建设为引擎，积极谋划项目，精心做好项目策划包装，做好新增专项债券需求申报工作。着力构建高质量的专项债券项目“谋划、遴选、储备、申报、发行、使用”滚动机制，进一步优化债券投向，扩大使用范围，集中资金支持“三区两镇”重点工程和重大项目建设，补齐发展短板，全力支持“三区两镇”经济社会发展。</w:t>
      </w:r>
    </w:p>
    <w:p>
      <w:pPr>
        <w:keepNext w:val="0"/>
        <w:keepLines w:val="0"/>
        <w:pageBreakBefore w:val="0"/>
        <w:kinsoku/>
        <w:wordWrap/>
        <w:overflowPunct/>
        <w:topLinePunct w:val="0"/>
        <w:autoSpaceDE/>
        <w:autoSpaceDN/>
        <w:bidi w:val="0"/>
        <w:adjustRightInd/>
        <w:snapToGrid/>
        <w:spacing w:line="560" w:lineRule="exact"/>
        <w:ind w:firstLine="602"/>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3.引导民间资本积极参与</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贯彻落实国家建立统一大市场的工作要求，积极去除基础设施、公用事业、新业态发展等重点领域各类显性或隐性门槛，着力拓展投资渠道，引导民间投资参与高质量发展。以重大项目为牵引，落实统一的市场准入制度，合理放宽社会资本准入，完善社会资本投融资合作对接机制，提高各类主体的资金投入效率。充分发挥政府投资引导带动作用，支持重点领域发展，带动民间资本积极参与重大项目。鼓励社会资本创新投资回报模式，继续推进市政公用产品和公共服务价格改革，加快完善市场决定价格机制，增强社会资本投入产出预期。</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楷体_GB2312" w:cs="Times New Roman"/>
          <w:b/>
          <w:bCs/>
          <w:color w:val="000000" w:themeColor="text1"/>
          <w:szCs w:val="30"/>
          <w:highlight w:val="none"/>
          <w14:textFill>
            <w14:solidFill>
              <w14:schemeClr w14:val="tx1"/>
            </w14:solidFill>
          </w14:textFill>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（二）创新金融支持</w:t>
      </w:r>
    </w:p>
    <w:p>
      <w:pPr>
        <w:keepNext w:val="0"/>
        <w:keepLines w:val="0"/>
        <w:pageBreakBefore w:val="0"/>
        <w:kinsoku/>
        <w:wordWrap/>
        <w:overflowPunct/>
        <w:topLinePunct w:val="0"/>
        <w:autoSpaceDE/>
        <w:autoSpaceDN/>
        <w:bidi w:val="0"/>
        <w:adjustRightInd/>
        <w:snapToGrid/>
        <w:spacing w:line="560" w:lineRule="exact"/>
        <w:ind w:firstLine="602"/>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1.引导企业上市（挂牌）</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对符合条件的企业，在境内外主要资本市场上市并将筹集资金回投奉贤的企业及相关中介机构给予绩效奖励；对成功挂牌、在场外市场增发、转板上市并将筹集资金回投奉贤的企业及相关中介机构同样给予绩效奖励。</w:t>
      </w:r>
    </w:p>
    <w:p>
      <w:pPr>
        <w:keepNext w:val="0"/>
        <w:keepLines w:val="0"/>
        <w:pageBreakBefore w:val="0"/>
        <w:kinsoku/>
        <w:wordWrap/>
        <w:overflowPunct/>
        <w:topLinePunct w:val="0"/>
        <w:autoSpaceDE/>
        <w:autoSpaceDN/>
        <w:bidi w:val="0"/>
        <w:adjustRightInd/>
        <w:snapToGrid/>
        <w:spacing w:line="560" w:lineRule="exact"/>
        <w:ind w:firstLine="602"/>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2.贴息贴费政策</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通过东方美谷贷、拨投贷等多样化形式，给予融资支持。</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东方美谷贷：经审核认定后纳入“东方美谷贷”支持范围内的企业，可参与“东方美谷贷”批次担保业务，并享受“东方美谷贷”相关补贴政策。</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拨投贷：将财政资金“拨款”、国企股权“投资”和金融机构“融资”多种资金募集方式融合集成，按照“一企一策”原则提供精准服务，对符合奉贤区产业发展方向的战略性新兴产业和处于初创期、成长期具有示范引领带动作用的创新型中小企业，采取股权投资等方式投资企业，并由金融机构进行相应的投贷联动金融支持。</w:t>
      </w:r>
    </w:p>
    <w:p>
      <w:pPr>
        <w:keepNext w:val="0"/>
        <w:keepLines w:val="0"/>
        <w:pageBreakBefore w:val="0"/>
        <w:kinsoku/>
        <w:wordWrap/>
        <w:overflowPunct/>
        <w:topLinePunct w:val="0"/>
        <w:autoSpaceDE/>
        <w:autoSpaceDN/>
        <w:bidi w:val="0"/>
        <w:adjustRightInd/>
        <w:snapToGrid/>
        <w:spacing w:line="560" w:lineRule="exact"/>
        <w:ind w:firstLine="602"/>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3.“基金+基地+产业”政策</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围绕“一园区一定位”，对“三区两镇”内特色园区予以重点推介，引导基金将其掌握的产业资源转化为园区产业项目，鼓励基金带动相关资本投资园区产业，积极发挥基金在厚植细分领域、上下游产业链打造等方面的扶持作用，形成各园区产业优势互补、共同发力新格局的新型园区开发管理模式。</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对园区规模、资金资质、产业背景、开发管理主体等符合一定条件的，认定为“基金+基地+产业”开发管理模式，给予以息促投激励机制，实施租金补贴政策；并在后续发展阶段支持园区产业项目高质量发展，引入拨投贷联动模式，有序开放园区物业转让，确保区级政策应享尽享。</w:t>
      </w:r>
    </w:p>
    <w:p>
      <w:pPr>
        <w:keepNext w:val="0"/>
        <w:keepLines w:val="0"/>
        <w:pageBreakBefore w:val="0"/>
        <w:kinsoku/>
        <w:wordWrap/>
        <w:overflowPunct/>
        <w:topLinePunct w:val="0"/>
        <w:autoSpaceDE/>
        <w:autoSpaceDN/>
        <w:bidi w:val="0"/>
        <w:adjustRightInd/>
        <w:snapToGrid/>
        <w:spacing w:line="560" w:lineRule="exact"/>
        <w:ind w:firstLine="602"/>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4.产业发展引导基金</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color w:val="000000"/>
          <w:kern w:val="0"/>
          <w:szCs w:val="30"/>
          <w:highlight w:val="none"/>
        </w:rPr>
      </w:pPr>
      <w:r>
        <w:rPr>
          <w:rFonts w:hint="default" w:ascii="Times New Roman" w:hAnsi="Times New Roman" w:cs="Times New Roman"/>
          <w:color w:val="000000"/>
          <w:kern w:val="0"/>
          <w:szCs w:val="30"/>
          <w:highlight w:val="none"/>
        </w:rPr>
        <w:t>在区产业发展引导基金的框架下，按照市场化原则，积极开展与各类产业投资私募基金的多种形式合作，通过对接资本市场，促进优质资本、项目、技术和人才向区域集聚，引导社会资本投向重点产业细分行业和企业。对投资私募基金及其所投企业在返投奉贤约定之下，通过跟投、参投等方式予以支持。</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楷体_GB2312" w:cs="Times New Roman"/>
          <w:b/>
          <w:bCs/>
          <w:color w:val="000000" w:themeColor="text1"/>
          <w:szCs w:val="30"/>
          <w:highlight w:val="none"/>
          <w14:textFill>
            <w14:solidFill>
              <w14:schemeClr w14:val="tx1"/>
            </w14:solidFill>
          </w14:textFill>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（三）推动国有企业、集体企业参与建设</w:t>
      </w:r>
    </w:p>
    <w:p>
      <w:pPr>
        <w:keepNext w:val="0"/>
        <w:keepLines w:val="0"/>
        <w:pageBreakBefore w:val="0"/>
        <w:kinsoku/>
        <w:wordWrap/>
        <w:overflowPunct/>
        <w:topLinePunct w:val="0"/>
        <w:autoSpaceDE/>
        <w:autoSpaceDN/>
        <w:bidi w:val="0"/>
        <w:adjustRightInd/>
        <w:snapToGrid/>
        <w:spacing w:line="560" w:lineRule="exact"/>
        <w:ind w:firstLine="602"/>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1.鼓励参与产业发展</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鼓励区内区外的国有企业、集体企业通过园中园产业综合体等方式参与“三区两镇”建设开发。在产业园区内，开发符合产业发展导向，生产、生活、生态有机统一的相对独立空间布局。对在占地规模、产业门类、企业形态等方面满足条件的园中园产业综合体予以规划土地、财税金融、人才扶持、招商激励等一系列扶持政策。</w:t>
      </w:r>
    </w:p>
    <w:p>
      <w:pPr>
        <w:keepNext w:val="0"/>
        <w:keepLines w:val="0"/>
        <w:pageBreakBefore w:val="0"/>
        <w:kinsoku/>
        <w:wordWrap/>
        <w:overflowPunct/>
        <w:topLinePunct w:val="0"/>
        <w:autoSpaceDE/>
        <w:autoSpaceDN/>
        <w:bidi w:val="0"/>
        <w:adjustRightInd/>
        <w:snapToGrid/>
        <w:spacing w:line="560" w:lineRule="exact"/>
        <w:ind w:firstLine="602"/>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2.鼓励参与城镇建设</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0"/>
          <w:highlight w:val="none"/>
        </w:rPr>
      </w:pPr>
      <w:r>
        <w:rPr>
          <w:rFonts w:hint="default" w:ascii="Times New Roman" w:hAnsi="Times New Roman" w:cs="Times New Roman"/>
          <w:szCs w:val="30"/>
          <w:highlight w:val="none"/>
        </w:rPr>
        <w:t>鼓励区内区外国有企业、集体企业遵循政府主导、自主经营、市场运作、权责清晰、规范合理的基本原则，参与“三区两镇”城镇建设。支持区属国有企业拓展参与城市建设和管理的业务范围，增强参与市场竞争的能力。在项目、资金、配套政策等方面对区属国有企业作适当引导并作适度要求。</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楷体_GB2312" w:cs="Times New Roman"/>
          <w:b/>
          <w:bCs/>
          <w:color w:val="000000" w:themeColor="text1"/>
          <w:szCs w:val="30"/>
          <w:highlight w:val="none"/>
          <w14:textFill>
            <w14:solidFill>
              <w14:schemeClr w14:val="tx1"/>
            </w14:solidFill>
          </w14:textFill>
        </w:rPr>
      </w:pPr>
      <w:r>
        <w:rPr>
          <w:rFonts w:hint="default" w:ascii="Times New Roman" w:hAnsi="Times New Roman" w:eastAsia="楷体_GB2312" w:cs="Times New Roman"/>
          <w:b/>
          <w:bCs/>
          <w:color w:val="000000" w:themeColor="text1"/>
          <w:szCs w:val="30"/>
          <w:highlight w:val="none"/>
          <w14:textFill>
            <w14:solidFill>
              <w14:schemeClr w14:val="tx1"/>
            </w14:solidFill>
          </w14:textFill>
        </w:rPr>
        <w:t>（四）支持“三区两镇”区域集体经济发展</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按“以农为本、自主自愿，政府引导、市场运作”的原则，充分发挥市场配置资源决定性作用，引导“三园总部”等向“三区两镇”文博旅游资源丰富点位集中。积极探索通过集体经营性建设用地入市、农民宅基地有序流转等举措，盘活农村集体土地资产。统筹城乡基础设施和公共服务，加速城乡互动，加快构建城乡一体共享发展新体系。</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szCs w:val="30"/>
          <w:highlight w:val="none"/>
        </w:rPr>
      </w:pPr>
      <w:r>
        <w:rPr>
          <w:rFonts w:hint="default" w:ascii="Times New Roman" w:hAnsi="Times New Roman" w:eastAsia="黑体" w:cs="Times New Roman"/>
          <w:szCs w:val="30"/>
          <w:highlight w:val="none"/>
        </w:rPr>
        <w:t>七、附则</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color w:val="000000"/>
          <w:kern w:val="0"/>
          <w:szCs w:val="30"/>
          <w:highlight w:val="none"/>
        </w:rPr>
      </w:pPr>
      <w:r>
        <w:rPr>
          <w:rFonts w:hint="default" w:ascii="Times New Roman" w:hAnsi="Times New Roman" w:cs="Times New Roman"/>
          <w:color w:val="000000"/>
          <w:kern w:val="0"/>
          <w:szCs w:val="30"/>
          <w:highlight w:val="none"/>
        </w:rPr>
        <w:t>本实施意见自发文之日起实施。</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color w:val="000000"/>
          <w:kern w:val="0"/>
          <w:szCs w:val="30"/>
          <w:highlight w:val="none"/>
        </w:rPr>
      </w:pPr>
      <w:r>
        <w:rPr>
          <w:rFonts w:hint="default" w:ascii="Times New Roman" w:hAnsi="Times New Roman" w:cs="Times New Roman"/>
          <w:color w:val="000000"/>
          <w:kern w:val="0"/>
          <w:szCs w:val="30"/>
          <w:highlight w:val="none"/>
        </w:rPr>
        <w:t>本实施意见执行期间，涉及其他相关政策出现变化的，从其规定。</w:t>
      </w:r>
    </w:p>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cs="Times New Roman"/>
          <w:szCs w:val="30"/>
          <w:highlight w:val="none"/>
        </w:rPr>
      </w:pPr>
      <w:r>
        <w:rPr>
          <w:rFonts w:hint="default" w:ascii="Times New Roman" w:hAnsi="Times New Roman" w:cs="Times New Roman"/>
          <w:color w:val="000000"/>
          <w:kern w:val="0"/>
          <w:szCs w:val="30"/>
          <w:highlight w:val="none"/>
        </w:rPr>
        <w:t>本实施意见由区“三区两镇”开发建设领导小组办公室负责解释。</w:t>
      </w:r>
    </w:p>
    <w:p>
      <w:pPr>
        <w:pStyle w:val="18"/>
        <w:keepNext w:val="0"/>
        <w:keepLines w:val="0"/>
        <w:pageBreakBefore w:val="0"/>
        <w:kinsoku/>
        <w:wordWrap/>
        <w:overflowPunct/>
        <w:topLinePunct w:val="0"/>
        <w:autoSpaceDE/>
        <w:autoSpaceDN/>
        <w:bidi w:val="0"/>
        <w:adjustRightInd/>
        <w:snapToGrid/>
        <w:spacing w:line="560" w:lineRule="exact"/>
        <w:outlineLvl w:val="0"/>
        <w:rPr>
          <w:rFonts w:hint="default" w:ascii="Times New Roman" w:hAnsi="Times New Roman" w:eastAsia="仿宋_GB2312" w:cs="Times New Roman"/>
          <w:color w:val="000000"/>
          <w:kern w:val="2"/>
          <w:sz w:val="30"/>
          <w:szCs w:val="30"/>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1</w:t>
                    </w:r>
                    <w:r>
                      <w:fldChar w:fldCharType="end"/>
                    </w:r>
                  </w:p>
                </w:txbxContent>
              </v:textbox>
            </v:shape>
          </w:pict>
        </mc:Fallback>
      </mc:AlternateContent>
    </w:r>
    <w:sdt>
      <w:sdtPr>
        <w:id w:val="239939351"/>
      </w:sdtPr>
      <w:sdtEndPr>
        <w:rPr>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Style w:val="24"/>
      </w:rPr>
    </w:pPr>
    <w:r>
      <w:rPr>
        <w:rStyle w:val="24"/>
      </w:rPr>
      <w:fldChar w:fldCharType="begin"/>
    </w:r>
    <w:r>
      <w:rPr>
        <w:rStyle w:val="24"/>
      </w:rPr>
      <w:instrText xml:space="preserve">PAGE  </w:instrText>
    </w:r>
    <w:r>
      <w:rPr>
        <w:rStyle w:val="24"/>
      </w:rPr>
      <w:fldChar w:fldCharType="end"/>
    </w:r>
  </w:p>
  <w:p>
    <w:pPr>
      <w:pStyle w:val="16"/>
      <w:ind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1630B"/>
    <w:multiLevelType w:val="multilevel"/>
    <w:tmpl w:val="0CD1630B"/>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D46998"/>
    <w:multiLevelType w:val="multilevel"/>
    <w:tmpl w:val="22D46998"/>
    <w:lvl w:ilvl="0" w:tentative="0">
      <w:start w:val="1"/>
      <w:numFmt w:val="decimal"/>
      <w:pStyle w:val="5"/>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5C32E80"/>
    <w:multiLevelType w:val="multilevel"/>
    <w:tmpl w:val="35C32E80"/>
    <w:lvl w:ilvl="0" w:tentative="0">
      <w:start w:val="1"/>
      <w:numFmt w:val="chineseCountingThousand"/>
      <w:pStyle w:val="3"/>
      <w:lvlText w:val="%1、"/>
      <w:lvlJc w:val="left"/>
      <w:pPr>
        <w:ind w:left="1020" w:hanging="420"/>
      </w:pPr>
      <w:rPr>
        <w:rFonts w:hint="default"/>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ZTgzZWExNTY2ZmI2OWQzYzFiYTA2MzMxMGRhMzkifQ=="/>
  </w:docVars>
  <w:rsids>
    <w:rsidRoot w:val="004E2A41"/>
    <w:rsid w:val="0000021F"/>
    <w:rsid w:val="00000CF0"/>
    <w:rsid w:val="00003AF3"/>
    <w:rsid w:val="00004DBC"/>
    <w:rsid w:val="00006512"/>
    <w:rsid w:val="000068FE"/>
    <w:rsid w:val="000079BD"/>
    <w:rsid w:val="00007F76"/>
    <w:rsid w:val="000117B0"/>
    <w:rsid w:val="00011806"/>
    <w:rsid w:val="00013D28"/>
    <w:rsid w:val="00016038"/>
    <w:rsid w:val="00017C3D"/>
    <w:rsid w:val="00021C2E"/>
    <w:rsid w:val="00022D42"/>
    <w:rsid w:val="00023F51"/>
    <w:rsid w:val="00024181"/>
    <w:rsid w:val="000264BB"/>
    <w:rsid w:val="000311A8"/>
    <w:rsid w:val="000333B0"/>
    <w:rsid w:val="00040794"/>
    <w:rsid w:val="000424E0"/>
    <w:rsid w:val="0004515E"/>
    <w:rsid w:val="00045167"/>
    <w:rsid w:val="00046692"/>
    <w:rsid w:val="0005069D"/>
    <w:rsid w:val="00051371"/>
    <w:rsid w:val="00054E02"/>
    <w:rsid w:val="00055520"/>
    <w:rsid w:val="00055D24"/>
    <w:rsid w:val="0005649F"/>
    <w:rsid w:val="00057826"/>
    <w:rsid w:val="00060836"/>
    <w:rsid w:val="00060C12"/>
    <w:rsid w:val="00060CFC"/>
    <w:rsid w:val="00061964"/>
    <w:rsid w:val="00061EF4"/>
    <w:rsid w:val="000632FC"/>
    <w:rsid w:val="00063F56"/>
    <w:rsid w:val="00064C0B"/>
    <w:rsid w:val="0006693F"/>
    <w:rsid w:val="00073FFF"/>
    <w:rsid w:val="00074D7B"/>
    <w:rsid w:val="0008455F"/>
    <w:rsid w:val="000923D3"/>
    <w:rsid w:val="00096997"/>
    <w:rsid w:val="000A0227"/>
    <w:rsid w:val="000A350F"/>
    <w:rsid w:val="000A3F08"/>
    <w:rsid w:val="000A71C5"/>
    <w:rsid w:val="000A7905"/>
    <w:rsid w:val="000A7D24"/>
    <w:rsid w:val="000B0004"/>
    <w:rsid w:val="000B11B1"/>
    <w:rsid w:val="000B4546"/>
    <w:rsid w:val="000B5B0C"/>
    <w:rsid w:val="000B6ED2"/>
    <w:rsid w:val="000C0FBF"/>
    <w:rsid w:val="000C2F0A"/>
    <w:rsid w:val="000C64AE"/>
    <w:rsid w:val="000D1386"/>
    <w:rsid w:val="000D27B7"/>
    <w:rsid w:val="000E07E8"/>
    <w:rsid w:val="000E256C"/>
    <w:rsid w:val="000E6173"/>
    <w:rsid w:val="000F0675"/>
    <w:rsid w:val="000F0C6C"/>
    <w:rsid w:val="000F10E0"/>
    <w:rsid w:val="000F4D14"/>
    <w:rsid w:val="000F4E30"/>
    <w:rsid w:val="000F6E29"/>
    <w:rsid w:val="001007D9"/>
    <w:rsid w:val="001011E9"/>
    <w:rsid w:val="001017EF"/>
    <w:rsid w:val="00101E47"/>
    <w:rsid w:val="00105D7F"/>
    <w:rsid w:val="00106690"/>
    <w:rsid w:val="001079C4"/>
    <w:rsid w:val="001121BF"/>
    <w:rsid w:val="00113CDA"/>
    <w:rsid w:val="00120387"/>
    <w:rsid w:val="00120777"/>
    <w:rsid w:val="0012362B"/>
    <w:rsid w:val="00124B48"/>
    <w:rsid w:val="001250D6"/>
    <w:rsid w:val="00132BED"/>
    <w:rsid w:val="00132FB3"/>
    <w:rsid w:val="001334A1"/>
    <w:rsid w:val="0013466F"/>
    <w:rsid w:val="00134EC3"/>
    <w:rsid w:val="00141312"/>
    <w:rsid w:val="0014253F"/>
    <w:rsid w:val="001435FF"/>
    <w:rsid w:val="001508BC"/>
    <w:rsid w:val="0015220F"/>
    <w:rsid w:val="00156801"/>
    <w:rsid w:val="001568B0"/>
    <w:rsid w:val="001636CC"/>
    <w:rsid w:val="001663CB"/>
    <w:rsid w:val="0017164E"/>
    <w:rsid w:val="00172180"/>
    <w:rsid w:val="001723A4"/>
    <w:rsid w:val="00181051"/>
    <w:rsid w:val="00181288"/>
    <w:rsid w:val="0018289B"/>
    <w:rsid w:val="00183FD9"/>
    <w:rsid w:val="00184864"/>
    <w:rsid w:val="00185289"/>
    <w:rsid w:val="001865F6"/>
    <w:rsid w:val="001869E2"/>
    <w:rsid w:val="00187C32"/>
    <w:rsid w:val="00190A1D"/>
    <w:rsid w:val="00193267"/>
    <w:rsid w:val="001939CB"/>
    <w:rsid w:val="00194DE6"/>
    <w:rsid w:val="0019519E"/>
    <w:rsid w:val="001A115D"/>
    <w:rsid w:val="001A2B21"/>
    <w:rsid w:val="001A3059"/>
    <w:rsid w:val="001B11D2"/>
    <w:rsid w:val="001C29DF"/>
    <w:rsid w:val="001C7EC0"/>
    <w:rsid w:val="001D3C6A"/>
    <w:rsid w:val="001E0912"/>
    <w:rsid w:val="001E09FD"/>
    <w:rsid w:val="001E16F4"/>
    <w:rsid w:val="001E3F28"/>
    <w:rsid w:val="001F0DE6"/>
    <w:rsid w:val="001F1115"/>
    <w:rsid w:val="001F1BE9"/>
    <w:rsid w:val="001F60DB"/>
    <w:rsid w:val="002014A9"/>
    <w:rsid w:val="00201896"/>
    <w:rsid w:val="00201F3F"/>
    <w:rsid w:val="002055A1"/>
    <w:rsid w:val="002057EB"/>
    <w:rsid w:val="0021076B"/>
    <w:rsid w:val="00214C53"/>
    <w:rsid w:val="00216AFD"/>
    <w:rsid w:val="0021703F"/>
    <w:rsid w:val="002209B7"/>
    <w:rsid w:val="00222E17"/>
    <w:rsid w:val="00223195"/>
    <w:rsid w:val="00224F3E"/>
    <w:rsid w:val="0022670A"/>
    <w:rsid w:val="00226713"/>
    <w:rsid w:val="002268F7"/>
    <w:rsid w:val="002314F3"/>
    <w:rsid w:val="002346ED"/>
    <w:rsid w:val="00237B64"/>
    <w:rsid w:val="00250565"/>
    <w:rsid w:val="00256793"/>
    <w:rsid w:val="00257BEA"/>
    <w:rsid w:val="00260379"/>
    <w:rsid w:val="002605A4"/>
    <w:rsid w:val="0026153A"/>
    <w:rsid w:val="00263341"/>
    <w:rsid w:val="00263BD4"/>
    <w:rsid w:val="00265D32"/>
    <w:rsid w:val="00273F62"/>
    <w:rsid w:val="00274DA8"/>
    <w:rsid w:val="002841B4"/>
    <w:rsid w:val="00284B03"/>
    <w:rsid w:val="002870B9"/>
    <w:rsid w:val="002903A7"/>
    <w:rsid w:val="002926C4"/>
    <w:rsid w:val="00294A8F"/>
    <w:rsid w:val="00296E8D"/>
    <w:rsid w:val="002A2DD3"/>
    <w:rsid w:val="002A2DF9"/>
    <w:rsid w:val="002A4BF8"/>
    <w:rsid w:val="002B46E5"/>
    <w:rsid w:val="002C06BD"/>
    <w:rsid w:val="002C5CAF"/>
    <w:rsid w:val="002C733A"/>
    <w:rsid w:val="002D19E9"/>
    <w:rsid w:val="002D3B1E"/>
    <w:rsid w:val="002D3D2B"/>
    <w:rsid w:val="002D4113"/>
    <w:rsid w:val="002D6010"/>
    <w:rsid w:val="002D70E8"/>
    <w:rsid w:val="002E4934"/>
    <w:rsid w:val="002E4D6E"/>
    <w:rsid w:val="002F20CC"/>
    <w:rsid w:val="002F534F"/>
    <w:rsid w:val="002F6672"/>
    <w:rsid w:val="0030264E"/>
    <w:rsid w:val="0030408B"/>
    <w:rsid w:val="00315B0B"/>
    <w:rsid w:val="00317599"/>
    <w:rsid w:val="00320DC1"/>
    <w:rsid w:val="00326E9E"/>
    <w:rsid w:val="00327BB8"/>
    <w:rsid w:val="00327FB7"/>
    <w:rsid w:val="00331F34"/>
    <w:rsid w:val="003321FA"/>
    <w:rsid w:val="003367F4"/>
    <w:rsid w:val="003374D1"/>
    <w:rsid w:val="00340356"/>
    <w:rsid w:val="00344A8A"/>
    <w:rsid w:val="00345304"/>
    <w:rsid w:val="00345B82"/>
    <w:rsid w:val="00346AF4"/>
    <w:rsid w:val="003515D0"/>
    <w:rsid w:val="00352AD0"/>
    <w:rsid w:val="00353D49"/>
    <w:rsid w:val="003575B0"/>
    <w:rsid w:val="00357C0E"/>
    <w:rsid w:val="00360225"/>
    <w:rsid w:val="00373AF1"/>
    <w:rsid w:val="00374869"/>
    <w:rsid w:val="00377FE4"/>
    <w:rsid w:val="00381ED1"/>
    <w:rsid w:val="00383A00"/>
    <w:rsid w:val="003929AB"/>
    <w:rsid w:val="00396348"/>
    <w:rsid w:val="003A348E"/>
    <w:rsid w:val="003A463A"/>
    <w:rsid w:val="003A4D32"/>
    <w:rsid w:val="003A586C"/>
    <w:rsid w:val="003A6CA7"/>
    <w:rsid w:val="003B09E6"/>
    <w:rsid w:val="003B0F1D"/>
    <w:rsid w:val="003B1927"/>
    <w:rsid w:val="003B4693"/>
    <w:rsid w:val="003B64FC"/>
    <w:rsid w:val="003B6BD9"/>
    <w:rsid w:val="003C411B"/>
    <w:rsid w:val="003C62A2"/>
    <w:rsid w:val="003D2400"/>
    <w:rsid w:val="003D734D"/>
    <w:rsid w:val="003D7B68"/>
    <w:rsid w:val="003E1A76"/>
    <w:rsid w:val="003E2B1B"/>
    <w:rsid w:val="003E3D60"/>
    <w:rsid w:val="003F2EF0"/>
    <w:rsid w:val="003F34D0"/>
    <w:rsid w:val="003F3518"/>
    <w:rsid w:val="003F377D"/>
    <w:rsid w:val="003F5CEC"/>
    <w:rsid w:val="004054C6"/>
    <w:rsid w:val="004078BD"/>
    <w:rsid w:val="00410035"/>
    <w:rsid w:val="0041459F"/>
    <w:rsid w:val="004207BA"/>
    <w:rsid w:val="00421959"/>
    <w:rsid w:val="00421F9D"/>
    <w:rsid w:val="00426662"/>
    <w:rsid w:val="00426F0A"/>
    <w:rsid w:val="004354BD"/>
    <w:rsid w:val="00436531"/>
    <w:rsid w:val="004377E4"/>
    <w:rsid w:val="00440C29"/>
    <w:rsid w:val="00442F97"/>
    <w:rsid w:val="0044381E"/>
    <w:rsid w:val="00444100"/>
    <w:rsid w:val="00445D4D"/>
    <w:rsid w:val="00447054"/>
    <w:rsid w:val="00451317"/>
    <w:rsid w:val="00453590"/>
    <w:rsid w:val="00453FE5"/>
    <w:rsid w:val="0045476D"/>
    <w:rsid w:val="00457527"/>
    <w:rsid w:val="00460E7B"/>
    <w:rsid w:val="00461E4B"/>
    <w:rsid w:val="00463CBB"/>
    <w:rsid w:val="00464848"/>
    <w:rsid w:val="00464DFA"/>
    <w:rsid w:val="0046684D"/>
    <w:rsid w:val="00467394"/>
    <w:rsid w:val="0047229C"/>
    <w:rsid w:val="0047277E"/>
    <w:rsid w:val="00475716"/>
    <w:rsid w:val="0048151A"/>
    <w:rsid w:val="00481A2E"/>
    <w:rsid w:val="00481DD1"/>
    <w:rsid w:val="004830E4"/>
    <w:rsid w:val="0048359D"/>
    <w:rsid w:val="00483F3F"/>
    <w:rsid w:val="0048429C"/>
    <w:rsid w:val="00484869"/>
    <w:rsid w:val="0048529A"/>
    <w:rsid w:val="004922BA"/>
    <w:rsid w:val="004929E1"/>
    <w:rsid w:val="00492C46"/>
    <w:rsid w:val="004945F6"/>
    <w:rsid w:val="00494951"/>
    <w:rsid w:val="004953A2"/>
    <w:rsid w:val="00497903"/>
    <w:rsid w:val="004A06B2"/>
    <w:rsid w:val="004A1D2C"/>
    <w:rsid w:val="004A3337"/>
    <w:rsid w:val="004A4F33"/>
    <w:rsid w:val="004B0738"/>
    <w:rsid w:val="004B23EE"/>
    <w:rsid w:val="004B299C"/>
    <w:rsid w:val="004C3801"/>
    <w:rsid w:val="004C3CCB"/>
    <w:rsid w:val="004C4B99"/>
    <w:rsid w:val="004D05CC"/>
    <w:rsid w:val="004D17CC"/>
    <w:rsid w:val="004D53EF"/>
    <w:rsid w:val="004E13F7"/>
    <w:rsid w:val="004E2A41"/>
    <w:rsid w:val="004E2BF2"/>
    <w:rsid w:val="004E435E"/>
    <w:rsid w:val="004E4AD2"/>
    <w:rsid w:val="004E5CA5"/>
    <w:rsid w:val="004F7B1A"/>
    <w:rsid w:val="005008DA"/>
    <w:rsid w:val="00500D88"/>
    <w:rsid w:val="00500F83"/>
    <w:rsid w:val="00504566"/>
    <w:rsid w:val="0050529C"/>
    <w:rsid w:val="00506AE2"/>
    <w:rsid w:val="005128AF"/>
    <w:rsid w:val="005141C2"/>
    <w:rsid w:val="005146E5"/>
    <w:rsid w:val="00514BAB"/>
    <w:rsid w:val="00515B58"/>
    <w:rsid w:val="00517FF7"/>
    <w:rsid w:val="00531278"/>
    <w:rsid w:val="0053236A"/>
    <w:rsid w:val="005327B4"/>
    <w:rsid w:val="00532E3C"/>
    <w:rsid w:val="00541FB7"/>
    <w:rsid w:val="005424BC"/>
    <w:rsid w:val="00543891"/>
    <w:rsid w:val="0055103B"/>
    <w:rsid w:val="005573C9"/>
    <w:rsid w:val="005577D2"/>
    <w:rsid w:val="00561B78"/>
    <w:rsid w:val="005632E8"/>
    <w:rsid w:val="00571E56"/>
    <w:rsid w:val="005732CF"/>
    <w:rsid w:val="005752DC"/>
    <w:rsid w:val="0057555C"/>
    <w:rsid w:val="00575C4E"/>
    <w:rsid w:val="00582FFF"/>
    <w:rsid w:val="00586941"/>
    <w:rsid w:val="00590F1E"/>
    <w:rsid w:val="00591AA6"/>
    <w:rsid w:val="00593FF3"/>
    <w:rsid w:val="0059466F"/>
    <w:rsid w:val="00594D9B"/>
    <w:rsid w:val="00596BD5"/>
    <w:rsid w:val="00596D97"/>
    <w:rsid w:val="005A1523"/>
    <w:rsid w:val="005A4CAF"/>
    <w:rsid w:val="005A4D66"/>
    <w:rsid w:val="005A6228"/>
    <w:rsid w:val="005A773B"/>
    <w:rsid w:val="005B003F"/>
    <w:rsid w:val="005B5FB4"/>
    <w:rsid w:val="005B776A"/>
    <w:rsid w:val="005C21E5"/>
    <w:rsid w:val="005C386F"/>
    <w:rsid w:val="005C3BC0"/>
    <w:rsid w:val="005C4028"/>
    <w:rsid w:val="005C513A"/>
    <w:rsid w:val="005C5FCC"/>
    <w:rsid w:val="005C725D"/>
    <w:rsid w:val="005D065C"/>
    <w:rsid w:val="005D0959"/>
    <w:rsid w:val="005D1733"/>
    <w:rsid w:val="005D1C43"/>
    <w:rsid w:val="005D1D7F"/>
    <w:rsid w:val="005D28D3"/>
    <w:rsid w:val="005D61EF"/>
    <w:rsid w:val="005F1235"/>
    <w:rsid w:val="005F40DF"/>
    <w:rsid w:val="005F4D6A"/>
    <w:rsid w:val="00602107"/>
    <w:rsid w:val="006026B4"/>
    <w:rsid w:val="00602D98"/>
    <w:rsid w:val="00604D44"/>
    <w:rsid w:val="00606359"/>
    <w:rsid w:val="00611BB1"/>
    <w:rsid w:val="00614265"/>
    <w:rsid w:val="0061567F"/>
    <w:rsid w:val="006170E0"/>
    <w:rsid w:val="00620FB4"/>
    <w:rsid w:val="006223A0"/>
    <w:rsid w:val="0062285A"/>
    <w:rsid w:val="006238AE"/>
    <w:rsid w:val="006244E6"/>
    <w:rsid w:val="0062554E"/>
    <w:rsid w:val="00625FE1"/>
    <w:rsid w:val="006279C0"/>
    <w:rsid w:val="00630F93"/>
    <w:rsid w:val="00633C4A"/>
    <w:rsid w:val="006341EA"/>
    <w:rsid w:val="006420ED"/>
    <w:rsid w:val="006443B6"/>
    <w:rsid w:val="00647094"/>
    <w:rsid w:val="006474FE"/>
    <w:rsid w:val="0065506B"/>
    <w:rsid w:val="00660317"/>
    <w:rsid w:val="00665B95"/>
    <w:rsid w:val="006660A4"/>
    <w:rsid w:val="00666C58"/>
    <w:rsid w:val="00670435"/>
    <w:rsid w:val="0067119C"/>
    <w:rsid w:val="00674304"/>
    <w:rsid w:val="0067441B"/>
    <w:rsid w:val="00674AD9"/>
    <w:rsid w:val="00676F90"/>
    <w:rsid w:val="006818C2"/>
    <w:rsid w:val="00686DA1"/>
    <w:rsid w:val="00687C70"/>
    <w:rsid w:val="0069417E"/>
    <w:rsid w:val="006A20A1"/>
    <w:rsid w:val="006A3B8A"/>
    <w:rsid w:val="006A649A"/>
    <w:rsid w:val="006A6EE1"/>
    <w:rsid w:val="006A7569"/>
    <w:rsid w:val="006B569F"/>
    <w:rsid w:val="006B6FCD"/>
    <w:rsid w:val="006C41DC"/>
    <w:rsid w:val="006C64BC"/>
    <w:rsid w:val="006C6C3F"/>
    <w:rsid w:val="006C76C4"/>
    <w:rsid w:val="006D1490"/>
    <w:rsid w:val="006D1762"/>
    <w:rsid w:val="006D3058"/>
    <w:rsid w:val="006D3E3C"/>
    <w:rsid w:val="006D6721"/>
    <w:rsid w:val="006D7FEF"/>
    <w:rsid w:val="006E2540"/>
    <w:rsid w:val="006E50B2"/>
    <w:rsid w:val="006E6FB4"/>
    <w:rsid w:val="006F4344"/>
    <w:rsid w:val="006F4505"/>
    <w:rsid w:val="006F4B90"/>
    <w:rsid w:val="006F541C"/>
    <w:rsid w:val="0070353A"/>
    <w:rsid w:val="00705356"/>
    <w:rsid w:val="00707C14"/>
    <w:rsid w:val="00707F9A"/>
    <w:rsid w:val="00712E73"/>
    <w:rsid w:val="00716C52"/>
    <w:rsid w:val="007222F7"/>
    <w:rsid w:val="0072251D"/>
    <w:rsid w:val="007235D3"/>
    <w:rsid w:val="007368CE"/>
    <w:rsid w:val="007369B4"/>
    <w:rsid w:val="00740540"/>
    <w:rsid w:val="00742CB7"/>
    <w:rsid w:val="007446C8"/>
    <w:rsid w:val="007531F2"/>
    <w:rsid w:val="00753C26"/>
    <w:rsid w:val="0075577E"/>
    <w:rsid w:val="00755AF5"/>
    <w:rsid w:val="00756E28"/>
    <w:rsid w:val="0076340A"/>
    <w:rsid w:val="0076397E"/>
    <w:rsid w:val="00765D65"/>
    <w:rsid w:val="00766AC5"/>
    <w:rsid w:val="00766D8F"/>
    <w:rsid w:val="0077421B"/>
    <w:rsid w:val="0077553A"/>
    <w:rsid w:val="007850F9"/>
    <w:rsid w:val="007861E6"/>
    <w:rsid w:val="007867A2"/>
    <w:rsid w:val="00786AC2"/>
    <w:rsid w:val="00787F86"/>
    <w:rsid w:val="007922E3"/>
    <w:rsid w:val="0079426D"/>
    <w:rsid w:val="00797094"/>
    <w:rsid w:val="007A1658"/>
    <w:rsid w:val="007A7EA9"/>
    <w:rsid w:val="007B09D3"/>
    <w:rsid w:val="007B1DCD"/>
    <w:rsid w:val="007B2AC1"/>
    <w:rsid w:val="007B70FE"/>
    <w:rsid w:val="007C306D"/>
    <w:rsid w:val="007C3F22"/>
    <w:rsid w:val="007C4217"/>
    <w:rsid w:val="007C5208"/>
    <w:rsid w:val="007C5C68"/>
    <w:rsid w:val="007C714A"/>
    <w:rsid w:val="007D0EAA"/>
    <w:rsid w:val="007D1923"/>
    <w:rsid w:val="007D3287"/>
    <w:rsid w:val="007D73B3"/>
    <w:rsid w:val="007E2D95"/>
    <w:rsid w:val="007E3479"/>
    <w:rsid w:val="007E539A"/>
    <w:rsid w:val="007E5E10"/>
    <w:rsid w:val="007E7AD4"/>
    <w:rsid w:val="007F2D82"/>
    <w:rsid w:val="007F3B3C"/>
    <w:rsid w:val="007F3F3B"/>
    <w:rsid w:val="008003DC"/>
    <w:rsid w:val="0080218B"/>
    <w:rsid w:val="0080290F"/>
    <w:rsid w:val="0080485E"/>
    <w:rsid w:val="00804C32"/>
    <w:rsid w:val="0080580E"/>
    <w:rsid w:val="00806417"/>
    <w:rsid w:val="00810B96"/>
    <w:rsid w:val="00814A51"/>
    <w:rsid w:val="00816C82"/>
    <w:rsid w:val="00817836"/>
    <w:rsid w:val="00821846"/>
    <w:rsid w:val="00821B70"/>
    <w:rsid w:val="00821DB1"/>
    <w:rsid w:val="00823282"/>
    <w:rsid w:val="008237C7"/>
    <w:rsid w:val="008263BD"/>
    <w:rsid w:val="0083091E"/>
    <w:rsid w:val="00830A9F"/>
    <w:rsid w:val="008316C6"/>
    <w:rsid w:val="008328C7"/>
    <w:rsid w:val="00832C39"/>
    <w:rsid w:val="00835C9B"/>
    <w:rsid w:val="008367B6"/>
    <w:rsid w:val="00837384"/>
    <w:rsid w:val="00840F63"/>
    <w:rsid w:val="008420FD"/>
    <w:rsid w:val="00842D7B"/>
    <w:rsid w:val="008441EA"/>
    <w:rsid w:val="00844ABC"/>
    <w:rsid w:val="00844ACE"/>
    <w:rsid w:val="008478CF"/>
    <w:rsid w:val="00847AC7"/>
    <w:rsid w:val="00850F61"/>
    <w:rsid w:val="00857B5A"/>
    <w:rsid w:val="00857C50"/>
    <w:rsid w:val="00857CA4"/>
    <w:rsid w:val="00863880"/>
    <w:rsid w:val="0086409E"/>
    <w:rsid w:val="0087014E"/>
    <w:rsid w:val="00874612"/>
    <w:rsid w:val="00876260"/>
    <w:rsid w:val="008778B7"/>
    <w:rsid w:val="00881CAF"/>
    <w:rsid w:val="008870BF"/>
    <w:rsid w:val="0089048B"/>
    <w:rsid w:val="00891156"/>
    <w:rsid w:val="00892364"/>
    <w:rsid w:val="008A0F2E"/>
    <w:rsid w:val="008A198D"/>
    <w:rsid w:val="008A33F8"/>
    <w:rsid w:val="008A5130"/>
    <w:rsid w:val="008A79D2"/>
    <w:rsid w:val="008B1139"/>
    <w:rsid w:val="008B35C6"/>
    <w:rsid w:val="008B4247"/>
    <w:rsid w:val="008B563C"/>
    <w:rsid w:val="008B7A5B"/>
    <w:rsid w:val="008C1F87"/>
    <w:rsid w:val="008C7368"/>
    <w:rsid w:val="008D0A48"/>
    <w:rsid w:val="008D15F6"/>
    <w:rsid w:val="008D27BB"/>
    <w:rsid w:val="008D340E"/>
    <w:rsid w:val="008D61F2"/>
    <w:rsid w:val="008D74D8"/>
    <w:rsid w:val="008E066F"/>
    <w:rsid w:val="008E1869"/>
    <w:rsid w:val="008E26F9"/>
    <w:rsid w:val="008E52A1"/>
    <w:rsid w:val="008E5D53"/>
    <w:rsid w:val="008E65CF"/>
    <w:rsid w:val="008E6830"/>
    <w:rsid w:val="008E71E2"/>
    <w:rsid w:val="008E7B4C"/>
    <w:rsid w:val="008F2BFE"/>
    <w:rsid w:val="009015E2"/>
    <w:rsid w:val="00902CBC"/>
    <w:rsid w:val="009033AC"/>
    <w:rsid w:val="00903796"/>
    <w:rsid w:val="00904FA0"/>
    <w:rsid w:val="00916DFB"/>
    <w:rsid w:val="00920C7C"/>
    <w:rsid w:val="00927A1E"/>
    <w:rsid w:val="00931635"/>
    <w:rsid w:val="00934070"/>
    <w:rsid w:val="00936CB7"/>
    <w:rsid w:val="009404E0"/>
    <w:rsid w:val="00940D75"/>
    <w:rsid w:val="0094208A"/>
    <w:rsid w:val="009433BB"/>
    <w:rsid w:val="00951117"/>
    <w:rsid w:val="00953544"/>
    <w:rsid w:val="009540D1"/>
    <w:rsid w:val="009549AF"/>
    <w:rsid w:val="00955FE3"/>
    <w:rsid w:val="0095608F"/>
    <w:rsid w:val="0096176E"/>
    <w:rsid w:val="00961DD6"/>
    <w:rsid w:val="009629C6"/>
    <w:rsid w:val="00962CA8"/>
    <w:rsid w:val="0096590D"/>
    <w:rsid w:val="00967301"/>
    <w:rsid w:val="00980005"/>
    <w:rsid w:val="00981415"/>
    <w:rsid w:val="00982249"/>
    <w:rsid w:val="009826FF"/>
    <w:rsid w:val="00986929"/>
    <w:rsid w:val="00986E45"/>
    <w:rsid w:val="00994956"/>
    <w:rsid w:val="00995225"/>
    <w:rsid w:val="009963A9"/>
    <w:rsid w:val="00996711"/>
    <w:rsid w:val="00996C8A"/>
    <w:rsid w:val="009A09E2"/>
    <w:rsid w:val="009A3870"/>
    <w:rsid w:val="009A76CD"/>
    <w:rsid w:val="009A7B12"/>
    <w:rsid w:val="009B0062"/>
    <w:rsid w:val="009B0510"/>
    <w:rsid w:val="009B5859"/>
    <w:rsid w:val="009C0D0B"/>
    <w:rsid w:val="009C1E1C"/>
    <w:rsid w:val="009C26B0"/>
    <w:rsid w:val="009C5712"/>
    <w:rsid w:val="009C6B8B"/>
    <w:rsid w:val="009D0ED6"/>
    <w:rsid w:val="009D1DC3"/>
    <w:rsid w:val="009F75F0"/>
    <w:rsid w:val="00A012DD"/>
    <w:rsid w:val="00A03AB0"/>
    <w:rsid w:val="00A05B21"/>
    <w:rsid w:val="00A07C8B"/>
    <w:rsid w:val="00A1039C"/>
    <w:rsid w:val="00A110E4"/>
    <w:rsid w:val="00A12CCE"/>
    <w:rsid w:val="00A14FA5"/>
    <w:rsid w:val="00A25156"/>
    <w:rsid w:val="00A252B4"/>
    <w:rsid w:val="00A27CAF"/>
    <w:rsid w:val="00A27D85"/>
    <w:rsid w:val="00A3492A"/>
    <w:rsid w:val="00A34B70"/>
    <w:rsid w:val="00A36481"/>
    <w:rsid w:val="00A36834"/>
    <w:rsid w:val="00A36E76"/>
    <w:rsid w:val="00A4186C"/>
    <w:rsid w:val="00A4380B"/>
    <w:rsid w:val="00A53F91"/>
    <w:rsid w:val="00A53FE0"/>
    <w:rsid w:val="00A54162"/>
    <w:rsid w:val="00A548CD"/>
    <w:rsid w:val="00A54CA3"/>
    <w:rsid w:val="00A574B7"/>
    <w:rsid w:val="00A57D1E"/>
    <w:rsid w:val="00A619D6"/>
    <w:rsid w:val="00A63608"/>
    <w:rsid w:val="00A64763"/>
    <w:rsid w:val="00A66365"/>
    <w:rsid w:val="00A74613"/>
    <w:rsid w:val="00A74C38"/>
    <w:rsid w:val="00A7566F"/>
    <w:rsid w:val="00A81058"/>
    <w:rsid w:val="00A82000"/>
    <w:rsid w:val="00A851BA"/>
    <w:rsid w:val="00A85BCC"/>
    <w:rsid w:val="00A87D0D"/>
    <w:rsid w:val="00A9152D"/>
    <w:rsid w:val="00A95625"/>
    <w:rsid w:val="00A95D50"/>
    <w:rsid w:val="00AA01B9"/>
    <w:rsid w:val="00AA3E8A"/>
    <w:rsid w:val="00AA582C"/>
    <w:rsid w:val="00AA7A38"/>
    <w:rsid w:val="00AB0601"/>
    <w:rsid w:val="00AB2766"/>
    <w:rsid w:val="00AB2D3F"/>
    <w:rsid w:val="00AB50C9"/>
    <w:rsid w:val="00AB7FDD"/>
    <w:rsid w:val="00AC010A"/>
    <w:rsid w:val="00AC0697"/>
    <w:rsid w:val="00AC3EEF"/>
    <w:rsid w:val="00AC41D1"/>
    <w:rsid w:val="00AC5BF0"/>
    <w:rsid w:val="00AC6E59"/>
    <w:rsid w:val="00AC76F3"/>
    <w:rsid w:val="00AD7A44"/>
    <w:rsid w:val="00AD7A4A"/>
    <w:rsid w:val="00AE1ED5"/>
    <w:rsid w:val="00AE4E8E"/>
    <w:rsid w:val="00AE520D"/>
    <w:rsid w:val="00AE6C89"/>
    <w:rsid w:val="00AF68AB"/>
    <w:rsid w:val="00B01996"/>
    <w:rsid w:val="00B01E5F"/>
    <w:rsid w:val="00B020B0"/>
    <w:rsid w:val="00B11C1D"/>
    <w:rsid w:val="00B144FC"/>
    <w:rsid w:val="00B23D9A"/>
    <w:rsid w:val="00B26AF2"/>
    <w:rsid w:val="00B30DCC"/>
    <w:rsid w:val="00B34830"/>
    <w:rsid w:val="00B34E04"/>
    <w:rsid w:val="00B44156"/>
    <w:rsid w:val="00B4722D"/>
    <w:rsid w:val="00B512D2"/>
    <w:rsid w:val="00B54916"/>
    <w:rsid w:val="00B560CB"/>
    <w:rsid w:val="00B602A9"/>
    <w:rsid w:val="00B61A27"/>
    <w:rsid w:val="00B70939"/>
    <w:rsid w:val="00B73B90"/>
    <w:rsid w:val="00B7712E"/>
    <w:rsid w:val="00B8462C"/>
    <w:rsid w:val="00B86BC8"/>
    <w:rsid w:val="00B9317C"/>
    <w:rsid w:val="00B95E87"/>
    <w:rsid w:val="00BA1589"/>
    <w:rsid w:val="00BA15C4"/>
    <w:rsid w:val="00BA4E4D"/>
    <w:rsid w:val="00BA6C44"/>
    <w:rsid w:val="00BB0561"/>
    <w:rsid w:val="00BB0F58"/>
    <w:rsid w:val="00BB69B0"/>
    <w:rsid w:val="00BC4B99"/>
    <w:rsid w:val="00BC5841"/>
    <w:rsid w:val="00BD0196"/>
    <w:rsid w:val="00BD13A5"/>
    <w:rsid w:val="00BD213C"/>
    <w:rsid w:val="00BD27B4"/>
    <w:rsid w:val="00BE052F"/>
    <w:rsid w:val="00BE3C6D"/>
    <w:rsid w:val="00BE6B2B"/>
    <w:rsid w:val="00BE6D03"/>
    <w:rsid w:val="00BE73DC"/>
    <w:rsid w:val="00BF0109"/>
    <w:rsid w:val="00BF0BF5"/>
    <w:rsid w:val="00BF138D"/>
    <w:rsid w:val="00BF26CE"/>
    <w:rsid w:val="00BF4B9C"/>
    <w:rsid w:val="00BF6C3F"/>
    <w:rsid w:val="00C0000B"/>
    <w:rsid w:val="00C04990"/>
    <w:rsid w:val="00C053AA"/>
    <w:rsid w:val="00C05E46"/>
    <w:rsid w:val="00C10966"/>
    <w:rsid w:val="00C12B9F"/>
    <w:rsid w:val="00C14776"/>
    <w:rsid w:val="00C167A4"/>
    <w:rsid w:val="00C24BFC"/>
    <w:rsid w:val="00C307B5"/>
    <w:rsid w:val="00C34DB1"/>
    <w:rsid w:val="00C34EF0"/>
    <w:rsid w:val="00C362E3"/>
    <w:rsid w:val="00C3783C"/>
    <w:rsid w:val="00C37BC9"/>
    <w:rsid w:val="00C42065"/>
    <w:rsid w:val="00C42937"/>
    <w:rsid w:val="00C44BB4"/>
    <w:rsid w:val="00C44E82"/>
    <w:rsid w:val="00C46101"/>
    <w:rsid w:val="00C50A2B"/>
    <w:rsid w:val="00C5197F"/>
    <w:rsid w:val="00C534C9"/>
    <w:rsid w:val="00C53875"/>
    <w:rsid w:val="00C53DF4"/>
    <w:rsid w:val="00C5449E"/>
    <w:rsid w:val="00C55642"/>
    <w:rsid w:val="00C55ECE"/>
    <w:rsid w:val="00C5694D"/>
    <w:rsid w:val="00C6108F"/>
    <w:rsid w:val="00C6359D"/>
    <w:rsid w:val="00C64AF1"/>
    <w:rsid w:val="00C73D7E"/>
    <w:rsid w:val="00C75A47"/>
    <w:rsid w:val="00C77C40"/>
    <w:rsid w:val="00C77EC9"/>
    <w:rsid w:val="00C805D1"/>
    <w:rsid w:val="00C81E71"/>
    <w:rsid w:val="00C82601"/>
    <w:rsid w:val="00C8347F"/>
    <w:rsid w:val="00C8567C"/>
    <w:rsid w:val="00C866A1"/>
    <w:rsid w:val="00C905A6"/>
    <w:rsid w:val="00C915D0"/>
    <w:rsid w:val="00C92D29"/>
    <w:rsid w:val="00C96185"/>
    <w:rsid w:val="00CA22FA"/>
    <w:rsid w:val="00CA6BFD"/>
    <w:rsid w:val="00CA7712"/>
    <w:rsid w:val="00CA7D03"/>
    <w:rsid w:val="00CA7DF6"/>
    <w:rsid w:val="00CB2283"/>
    <w:rsid w:val="00CB31EC"/>
    <w:rsid w:val="00CB453A"/>
    <w:rsid w:val="00CB7493"/>
    <w:rsid w:val="00CC220E"/>
    <w:rsid w:val="00CC4683"/>
    <w:rsid w:val="00CC4A93"/>
    <w:rsid w:val="00CD3BEA"/>
    <w:rsid w:val="00CD7073"/>
    <w:rsid w:val="00CD7B02"/>
    <w:rsid w:val="00CE2BCE"/>
    <w:rsid w:val="00CF386F"/>
    <w:rsid w:val="00CF4708"/>
    <w:rsid w:val="00D01C0C"/>
    <w:rsid w:val="00D03ED1"/>
    <w:rsid w:val="00D0453A"/>
    <w:rsid w:val="00D05CDB"/>
    <w:rsid w:val="00D103CE"/>
    <w:rsid w:val="00D140EF"/>
    <w:rsid w:val="00D14D4A"/>
    <w:rsid w:val="00D22405"/>
    <w:rsid w:val="00D240FD"/>
    <w:rsid w:val="00D25234"/>
    <w:rsid w:val="00D3155F"/>
    <w:rsid w:val="00D320C6"/>
    <w:rsid w:val="00D35391"/>
    <w:rsid w:val="00D36093"/>
    <w:rsid w:val="00D4025B"/>
    <w:rsid w:val="00D40E9B"/>
    <w:rsid w:val="00D417B3"/>
    <w:rsid w:val="00D41E1A"/>
    <w:rsid w:val="00D45F54"/>
    <w:rsid w:val="00D51C51"/>
    <w:rsid w:val="00D52DCC"/>
    <w:rsid w:val="00D568C8"/>
    <w:rsid w:val="00D6547C"/>
    <w:rsid w:val="00D676D1"/>
    <w:rsid w:val="00D73378"/>
    <w:rsid w:val="00D73955"/>
    <w:rsid w:val="00D74A9B"/>
    <w:rsid w:val="00D75369"/>
    <w:rsid w:val="00D753B6"/>
    <w:rsid w:val="00D75843"/>
    <w:rsid w:val="00D7652C"/>
    <w:rsid w:val="00D84706"/>
    <w:rsid w:val="00D85491"/>
    <w:rsid w:val="00D9081B"/>
    <w:rsid w:val="00D9512A"/>
    <w:rsid w:val="00DA4570"/>
    <w:rsid w:val="00DA7D90"/>
    <w:rsid w:val="00DB010D"/>
    <w:rsid w:val="00DB0786"/>
    <w:rsid w:val="00DB5EF0"/>
    <w:rsid w:val="00DB680B"/>
    <w:rsid w:val="00DC12C4"/>
    <w:rsid w:val="00DC5EF9"/>
    <w:rsid w:val="00DC6486"/>
    <w:rsid w:val="00DC7059"/>
    <w:rsid w:val="00DD472F"/>
    <w:rsid w:val="00DE247E"/>
    <w:rsid w:val="00DF01E4"/>
    <w:rsid w:val="00DF0B48"/>
    <w:rsid w:val="00DF0E3F"/>
    <w:rsid w:val="00DF3CAF"/>
    <w:rsid w:val="00DF3DB0"/>
    <w:rsid w:val="00DF6C7B"/>
    <w:rsid w:val="00DF7DEA"/>
    <w:rsid w:val="00E001A5"/>
    <w:rsid w:val="00E00CC2"/>
    <w:rsid w:val="00E01FF8"/>
    <w:rsid w:val="00E04D2D"/>
    <w:rsid w:val="00E102AB"/>
    <w:rsid w:val="00E11BE7"/>
    <w:rsid w:val="00E137BA"/>
    <w:rsid w:val="00E21ED2"/>
    <w:rsid w:val="00E21EF0"/>
    <w:rsid w:val="00E22AD8"/>
    <w:rsid w:val="00E2785A"/>
    <w:rsid w:val="00E33588"/>
    <w:rsid w:val="00E336D3"/>
    <w:rsid w:val="00E36873"/>
    <w:rsid w:val="00E36D79"/>
    <w:rsid w:val="00E37CAC"/>
    <w:rsid w:val="00E40853"/>
    <w:rsid w:val="00E40899"/>
    <w:rsid w:val="00E41C97"/>
    <w:rsid w:val="00E42779"/>
    <w:rsid w:val="00E44E3B"/>
    <w:rsid w:val="00E476D8"/>
    <w:rsid w:val="00E51F7B"/>
    <w:rsid w:val="00E52444"/>
    <w:rsid w:val="00E549CB"/>
    <w:rsid w:val="00E55A8B"/>
    <w:rsid w:val="00E55D66"/>
    <w:rsid w:val="00E55D97"/>
    <w:rsid w:val="00E71F92"/>
    <w:rsid w:val="00E743F4"/>
    <w:rsid w:val="00E7509E"/>
    <w:rsid w:val="00E75E72"/>
    <w:rsid w:val="00E76FB5"/>
    <w:rsid w:val="00E777B7"/>
    <w:rsid w:val="00E80011"/>
    <w:rsid w:val="00E83AD3"/>
    <w:rsid w:val="00E83BEE"/>
    <w:rsid w:val="00E852FE"/>
    <w:rsid w:val="00E87EEB"/>
    <w:rsid w:val="00E929E7"/>
    <w:rsid w:val="00E93297"/>
    <w:rsid w:val="00E9507F"/>
    <w:rsid w:val="00E96F46"/>
    <w:rsid w:val="00EA0B73"/>
    <w:rsid w:val="00EA4859"/>
    <w:rsid w:val="00EA5D1F"/>
    <w:rsid w:val="00EA664A"/>
    <w:rsid w:val="00EB460C"/>
    <w:rsid w:val="00EC0A29"/>
    <w:rsid w:val="00EC19F7"/>
    <w:rsid w:val="00EC508A"/>
    <w:rsid w:val="00EC660D"/>
    <w:rsid w:val="00ED364C"/>
    <w:rsid w:val="00EE095A"/>
    <w:rsid w:val="00EE0DD9"/>
    <w:rsid w:val="00EE373D"/>
    <w:rsid w:val="00EE4477"/>
    <w:rsid w:val="00EE4A01"/>
    <w:rsid w:val="00EE6E0E"/>
    <w:rsid w:val="00EE7FD0"/>
    <w:rsid w:val="00EF1085"/>
    <w:rsid w:val="00EF1DFC"/>
    <w:rsid w:val="00EF7471"/>
    <w:rsid w:val="00F00F14"/>
    <w:rsid w:val="00F03067"/>
    <w:rsid w:val="00F0419A"/>
    <w:rsid w:val="00F04779"/>
    <w:rsid w:val="00F065BB"/>
    <w:rsid w:val="00F07668"/>
    <w:rsid w:val="00F078FD"/>
    <w:rsid w:val="00F12535"/>
    <w:rsid w:val="00F12B83"/>
    <w:rsid w:val="00F221FB"/>
    <w:rsid w:val="00F22262"/>
    <w:rsid w:val="00F2231E"/>
    <w:rsid w:val="00F228D5"/>
    <w:rsid w:val="00F26A95"/>
    <w:rsid w:val="00F27845"/>
    <w:rsid w:val="00F30CC5"/>
    <w:rsid w:val="00F32400"/>
    <w:rsid w:val="00F33653"/>
    <w:rsid w:val="00F357E5"/>
    <w:rsid w:val="00F401BB"/>
    <w:rsid w:val="00F42530"/>
    <w:rsid w:val="00F428DC"/>
    <w:rsid w:val="00F42D1C"/>
    <w:rsid w:val="00F506DE"/>
    <w:rsid w:val="00F51D0B"/>
    <w:rsid w:val="00F51F6B"/>
    <w:rsid w:val="00F55D76"/>
    <w:rsid w:val="00F56298"/>
    <w:rsid w:val="00F61E66"/>
    <w:rsid w:val="00F67006"/>
    <w:rsid w:val="00F70D9E"/>
    <w:rsid w:val="00F82B01"/>
    <w:rsid w:val="00F844AF"/>
    <w:rsid w:val="00F845EA"/>
    <w:rsid w:val="00F85C78"/>
    <w:rsid w:val="00F870EC"/>
    <w:rsid w:val="00F87727"/>
    <w:rsid w:val="00F87ECD"/>
    <w:rsid w:val="00F92234"/>
    <w:rsid w:val="00F92AC4"/>
    <w:rsid w:val="00F92CD5"/>
    <w:rsid w:val="00F93BF5"/>
    <w:rsid w:val="00F957D9"/>
    <w:rsid w:val="00F9694B"/>
    <w:rsid w:val="00F97202"/>
    <w:rsid w:val="00FA0F74"/>
    <w:rsid w:val="00FA57BF"/>
    <w:rsid w:val="00FB0F62"/>
    <w:rsid w:val="00FB12A2"/>
    <w:rsid w:val="00FB1E25"/>
    <w:rsid w:val="00FB27B5"/>
    <w:rsid w:val="00FB73F1"/>
    <w:rsid w:val="00FB7996"/>
    <w:rsid w:val="00FC0785"/>
    <w:rsid w:val="00FC5C9E"/>
    <w:rsid w:val="00FC5DA9"/>
    <w:rsid w:val="00FC7221"/>
    <w:rsid w:val="00FD03E3"/>
    <w:rsid w:val="00FD101B"/>
    <w:rsid w:val="00FD5396"/>
    <w:rsid w:val="00FD6DFB"/>
    <w:rsid w:val="00FE16FC"/>
    <w:rsid w:val="00FE23A6"/>
    <w:rsid w:val="00FE57DD"/>
    <w:rsid w:val="00FF014B"/>
    <w:rsid w:val="00FF27AD"/>
    <w:rsid w:val="00FF2B3B"/>
    <w:rsid w:val="00FF43C2"/>
    <w:rsid w:val="00FF684B"/>
    <w:rsid w:val="02306473"/>
    <w:rsid w:val="03204000"/>
    <w:rsid w:val="038F491E"/>
    <w:rsid w:val="048E5251"/>
    <w:rsid w:val="0D0E535D"/>
    <w:rsid w:val="0FBE36C5"/>
    <w:rsid w:val="13D8531B"/>
    <w:rsid w:val="1414193D"/>
    <w:rsid w:val="14A3389F"/>
    <w:rsid w:val="150A062C"/>
    <w:rsid w:val="15784D3F"/>
    <w:rsid w:val="166C5651"/>
    <w:rsid w:val="198F399F"/>
    <w:rsid w:val="1BD354C1"/>
    <w:rsid w:val="1C7A0658"/>
    <w:rsid w:val="1D1D0DC7"/>
    <w:rsid w:val="290E55A2"/>
    <w:rsid w:val="2AC90C66"/>
    <w:rsid w:val="2AF37A1C"/>
    <w:rsid w:val="2B9D1BD3"/>
    <w:rsid w:val="2C0B5689"/>
    <w:rsid w:val="2C1C1C2D"/>
    <w:rsid w:val="305B6BEC"/>
    <w:rsid w:val="36B46094"/>
    <w:rsid w:val="387D4CD0"/>
    <w:rsid w:val="38AF729C"/>
    <w:rsid w:val="3B731A38"/>
    <w:rsid w:val="3BA57181"/>
    <w:rsid w:val="3BF72573"/>
    <w:rsid w:val="3D251EFB"/>
    <w:rsid w:val="3DD2413F"/>
    <w:rsid w:val="3EDD7E6C"/>
    <w:rsid w:val="41FE7B14"/>
    <w:rsid w:val="42E42D4A"/>
    <w:rsid w:val="451835F2"/>
    <w:rsid w:val="4E883E90"/>
    <w:rsid w:val="4ED215A5"/>
    <w:rsid w:val="523D2C24"/>
    <w:rsid w:val="52E53599"/>
    <w:rsid w:val="54184FF7"/>
    <w:rsid w:val="57327CCA"/>
    <w:rsid w:val="58E41511"/>
    <w:rsid w:val="59B2243E"/>
    <w:rsid w:val="59E7033A"/>
    <w:rsid w:val="5D8010C0"/>
    <w:rsid w:val="5E893A9A"/>
    <w:rsid w:val="5EF46899"/>
    <w:rsid w:val="63710C7C"/>
    <w:rsid w:val="648C3FDD"/>
    <w:rsid w:val="64C37BF6"/>
    <w:rsid w:val="661B7B4A"/>
    <w:rsid w:val="677353BC"/>
    <w:rsid w:val="68A62CAA"/>
    <w:rsid w:val="68AB4C28"/>
    <w:rsid w:val="6A1450F1"/>
    <w:rsid w:val="6A764ABB"/>
    <w:rsid w:val="6CB76C41"/>
    <w:rsid w:val="6DD07484"/>
    <w:rsid w:val="6F123CAF"/>
    <w:rsid w:val="6FBA3450"/>
    <w:rsid w:val="6FD94B0A"/>
    <w:rsid w:val="729974EB"/>
    <w:rsid w:val="73126684"/>
    <w:rsid w:val="733047D1"/>
    <w:rsid w:val="7479207F"/>
    <w:rsid w:val="76B64EC4"/>
    <w:rsid w:val="77CA6827"/>
    <w:rsid w:val="7B4C4049"/>
    <w:rsid w:val="7CDA3037"/>
    <w:rsid w:val="7FCF6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0" w:firstLineChars="20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29"/>
    <w:qFormat/>
    <w:uiPriority w:val="0"/>
    <w:pPr>
      <w:numPr>
        <w:ilvl w:val="0"/>
        <w:numId w:val="1"/>
      </w:numPr>
      <w:adjustRightInd w:val="0"/>
      <w:snapToGrid w:val="0"/>
      <w:ind w:firstLine="0" w:firstLineChars="0"/>
      <w:outlineLvl w:val="0"/>
    </w:pPr>
    <w:rPr>
      <w:rFonts w:ascii="仿宋_GB2312" w:hAnsi="仿宋" w:eastAsia="黑体" w:cs="仿宋"/>
      <w:szCs w:val="30"/>
    </w:rPr>
  </w:style>
  <w:style w:type="paragraph" w:styleId="4">
    <w:name w:val="heading 2"/>
    <w:basedOn w:val="1"/>
    <w:next w:val="1"/>
    <w:link w:val="30"/>
    <w:qFormat/>
    <w:uiPriority w:val="0"/>
    <w:pPr>
      <w:numPr>
        <w:ilvl w:val="0"/>
        <w:numId w:val="2"/>
      </w:numPr>
      <w:adjustRightInd w:val="0"/>
      <w:snapToGrid w:val="0"/>
      <w:ind w:left="0" w:firstLine="200"/>
      <w:outlineLvl w:val="1"/>
    </w:pPr>
    <w:rPr>
      <w:rFonts w:ascii="仿宋_GB2312" w:hAnsi="仿宋" w:eastAsia="楷体_GB2312" w:cs="仿宋"/>
      <w:b/>
      <w:szCs w:val="30"/>
      <w:shd w:val="clear" w:color="auto" w:fill="FFFFFF"/>
    </w:rPr>
  </w:style>
  <w:style w:type="paragraph" w:styleId="5">
    <w:name w:val="heading 3"/>
    <w:basedOn w:val="6"/>
    <w:next w:val="1"/>
    <w:qFormat/>
    <w:uiPriority w:val="0"/>
    <w:pPr>
      <w:numPr>
        <w:ilvl w:val="0"/>
        <w:numId w:val="3"/>
      </w:numPr>
      <w:ind w:firstLine="0" w:firstLineChars="0"/>
      <w:outlineLvl w:val="2"/>
    </w:pPr>
  </w:style>
  <w:style w:type="paragraph" w:styleId="7">
    <w:name w:val="heading 4"/>
    <w:basedOn w:val="1"/>
    <w:next w:val="1"/>
    <w:unhideWhenUsed/>
    <w:qFormat/>
    <w:uiPriority w:val="0"/>
    <w:pPr>
      <w:keepNext/>
      <w:keepLines/>
      <w:spacing w:before="280" w:after="290" w:line="376" w:lineRule="auto"/>
      <w:jc w:val="left"/>
      <w:outlineLvl w:val="3"/>
    </w:pPr>
    <w:rPr>
      <w:rFonts w:ascii="Arial" w:hAnsi="Arial" w:eastAsia="黑体"/>
      <w:b/>
      <w:bCs/>
      <w:sz w:val="28"/>
      <w:szCs w:val="28"/>
    </w:rPr>
  </w:style>
  <w:style w:type="paragraph" w:styleId="8">
    <w:name w:val="heading 5"/>
    <w:basedOn w:val="1"/>
    <w:next w:val="1"/>
    <w:unhideWhenUsed/>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6">
    <w:name w:val="List Paragraph"/>
    <w:basedOn w:val="1"/>
    <w:unhideWhenUsed/>
    <w:qFormat/>
    <w:uiPriority w:val="99"/>
    <w:pPr>
      <w:ind w:firstLine="420"/>
    </w:pPr>
  </w:style>
  <w:style w:type="paragraph" w:styleId="11">
    <w:name w:val="Document Map"/>
    <w:basedOn w:val="1"/>
    <w:semiHidden/>
    <w:qFormat/>
    <w:uiPriority w:val="0"/>
    <w:pPr>
      <w:shd w:val="clear" w:color="auto" w:fill="000080"/>
    </w:pPr>
  </w:style>
  <w:style w:type="paragraph" w:styleId="12">
    <w:name w:val="annotation text"/>
    <w:basedOn w:val="1"/>
    <w:link w:val="32"/>
    <w:semiHidden/>
    <w:unhideWhenUsed/>
    <w:qFormat/>
    <w:uiPriority w:val="0"/>
    <w:pPr>
      <w:jc w:val="left"/>
    </w:pPr>
  </w:style>
  <w:style w:type="paragraph" w:styleId="13">
    <w:name w:val="Body Text"/>
    <w:basedOn w:val="1"/>
    <w:qFormat/>
    <w:uiPriority w:val="0"/>
    <w:pPr>
      <w:spacing w:after="120"/>
    </w:pPr>
  </w:style>
  <w:style w:type="paragraph" w:styleId="14">
    <w:name w:val="Date"/>
    <w:basedOn w:val="1"/>
    <w:next w:val="1"/>
    <w:link w:val="35"/>
    <w:semiHidden/>
    <w:unhideWhenUsed/>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rPr>
  </w:style>
  <w:style w:type="paragraph" w:styleId="19">
    <w:name w:val="Title"/>
    <w:basedOn w:val="1"/>
    <w:next w:val="1"/>
    <w:link w:val="27"/>
    <w:qFormat/>
    <w:uiPriority w:val="0"/>
    <w:pPr>
      <w:ind w:firstLine="720" w:firstLineChars="0"/>
      <w:jc w:val="center"/>
      <w:outlineLvl w:val="0"/>
    </w:pPr>
    <w:rPr>
      <w:rFonts w:eastAsia="方正小标宋简体" w:asciiTheme="majorHAnsi" w:hAnsiTheme="majorHAnsi" w:cstheme="majorBidi"/>
      <w:b/>
      <w:bCs/>
      <w:sz w:val="36"/>
      <w:szCs w:val="32"/>
    </w:rPr>
  </w:style>
  <w:style w:type="paragraph" w:styleId="20">
    <w:name w:val="annotation subject"/>
    <w:basedOn w:val="12"/>
    <w:next w:val="12"/>
    <w:link w:val="33"/>
    <w:semiHidden/>
    <w:unhideWhenUsed/>
    <w:qFormat/>
    <w:uiPriority w:val="0"/>
    <w:rPr>
      <w:b/>
      <w:bCs/>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Emphasis"/>
    <w:basedOn w:val="22"/>
    <w:qFormat/>
    <w:uiPriority w:val="0"/>
    <w:rPr>
      <w:i/>
      <w:iCs/>
    </w:rPr>
  </w:style>
  <w:style w:type="character" w:styleId="26">
    <w:name w:val="annotation reference"/>
    <w:basedOn w:val="22"/>
    <w:semiHidden/>
    <w:unhideWhenUsed/>
    <w:qFormat/>
    <w:uiPriority w:val="0"/>
    <w:rPr>
      <w:sz w:val="21"/>
      <w:szCs w:val="21"/>
    </w:rPr>
  </w:style>
  <w:style w:type="character" w:customStyle="1" w:styleId="27">
    <w:name w:val="标题 字符"/>
    <w:basedOn w:val="22"/>
    <w:link w:val="19"/>
    <w:qFormat/>
    <w:uiPriority w:val="0"/>
    <w:rPr>
      <w:rFonts w:eastAsia="方正小标宋简体" w:asciiTheme="majorHAnsi" w:hAnsiTheme="majorHAnsi" w:cstheme="majorBidi"/>
      <w:b/>
      <w:bCs/>
      <w:kern w:val="2"/>
      <w:sz w:val="36"/>
      <w:szCs w:val="32"/>
    </w:rPr>
  </w:style>
  <w:style w:type="character" w:customStyle="1" w:styleId="28">
    <w:name w:val="页眉 字符"/>
    <w:basedOn w:val="22"/>
    <w:link w:val="17"/>
    <w:qFormat/>
    <w:uiPriority w:val="99"/>
    <w:rPr>
      <w:rFonts w:eastAsia="仿宋_GB2312"/>
      <w:kern w:val="2"/>
      <w:sz w:val="18"/>
      <w:szCs w:val="18"/>
    </w:rPr>
  </w:style>
  <w:style w:type="character" w:customStyle="1" w:styleId="29">
    <w:name w:val="标题 1 字符"/>
    <w:basedOn w:val="22"/>
    <w:link w:val="3"/>
    <w:qFormat/>
    <w:uiPriority w:val="0"/>
    <w:rPr>
      <w:rFonts w:ascii="仿宋_GB2312" w:hAnsi="仿宋" w:eastAsia="黑体" w:cs="仿宋"/>
      <w:kern w:val="2"/>
      <w:sz w:val="30"/>
      <w:szCs w:val="30"/>
    </w:rPr>
  </w:style>
  <w:style w:type="character" w:customStyle="1" w:styleId="30">
    <w:name w:val="标题 2 字符"/>
    <w:basedOn w:val="22"/>
    <w:link w:val="4"/>
    <w:qFormat/>
    <w:uiPriority w:val="0"/>
    <w:rPr>
      <w:rFonts w:ascii="仿宋_GB2312" w:hAnsi="仿宋" w:eastAsia="楷体_GB2312" w:cs="仿宋"/>
      <w:b/>
      <w:kern w:val="2"/>
      <w:sz w:val="30"/>
      <w:szCs w:val="30"/>
    </w:rPr>
  </w:style>
  <w:style w:type="paragraph" w:customStyle="1" w:styleId="3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2">
    <w:name w:val="批注文字 字符"/>
    <w:basedOn w:val="22"/>
    <w:link w:val="12"/>
    <w:semiHidden/>
    <w:qFormat/>
    <w:uiPriority w:val="0"/>
    <w:rPr>
      <w:rFonts w:eastAsia="仿宋_GB2312"/>
      <w:kern w:val="2"/>
      <w:sz w:val="30"/>
      <w:szCs w:val="24"/>
    </w:rPr>
  </w:style>
  <w:style w:type="character" w:customStyle="1" w:styleId="33">
    <w:name w:val="批注主题 字符"/>
    <w:basedOn w:val="32"/>
    <w:link w:val="20"/>
    <w:semiHidden/>
    <w:qFormat/>
    <w:uiPriority w:val="0"/>
    <w:rPr>
      <w:rFonts w:eastAsia="仿宋_GB2312"/>
      <w:b/>
      <w:bCs/>
      <w:kern w:val="2"/>
      <w:sz w:val="30"/>
      <w:szCs w:val="24"/>
    </w:rPr>
  </w:style>
  <w:style w:type="character" w:customStyle="1" w:styleId="34">
    <w:name w:val="页脚 字符"/>
    <w:basedOn w:val="22"/>
    <w:link w:val="16"/>
    <w:qFormat/>
    <w:uiPriority w:val="99"/>
    <w:rPr>
      <w:rFonts w:eastAsia="仿宋_GB2312"/>
      <w:kern w:val="2"/>
      <w:sz w:val="18"/>
      <w:szCs w:val="18"/>
    </w:rPr>
  </w:style>
  <w:style w:type="character" w:customStyle="1" w:styleId="35">
    <w:name w:val="日期 字符"/>
    <w:basedOn w:val="22"/>
    <w:link w:val="14"/>
    <w:semiHidden/>
    <w:qFormat/>
    <w:uiPriority w:val="0"/>
    <w:rPr>
      <w:rFonts w:eastAsia="仿宋_GB2312"/>
      <w:kern w:val="2"/>
      <w:sz w:val="30"/>
      <w:szCs w:val="24"/>
    </w:rPr>
  </w:style>
  <w:style w:type="paragraph" w:customStyle="1" w:styleId="36">
    <w:name w:val="List Paragraph1"/>
    <w:basedOn w:val="1"/>
    <w:qFormat/>
    <w:uiPriority w:val="0"/>
    <w:pPr>
      <w:ind w:firstLine="420"/>
    </w:pPr>
    <w:rPr>
      <w:rFonts w:ascii="等线" w:hAnsi="等线" w:eastAsia="宋体"/>
      <w:sz w:val="21"/>
      <w:szCs w:val="21"/>
    </w:rPr>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834CB-4521-405D-9EF0-305B95F206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5569</Words>
  <Characters>5598</Characters>
  <Lines>1</Lines>
  <Paragraphs>11</Paragraphs>
  <TotalTime>33</TotalTime>
  <ScaleCrop>false</ScaleCrop>
  <LinksUpToDate>false</LinksUpToDate>
  <CharactersWithSpaces>5605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2023-07-19T08:57:00Z</dcterms:created>
  <dc:creator>czj</dc:creator>
  <cp:lastModifiedBy>Administrator</cp:lastModifiedBy>
  <cp:lastPrinted>2023-07-13T02:10:00Z</cp:lastPrinted>
  <dcterms:modified xsi:type="dcterms:W3CDTF">2023-07-27T02:45:20Z</dcterms:modified>
  <dc:title>关于完善我区国有土地使用权出让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C64A6A88E1CA48AFA51A673FE1398608_13</vt:lpwstr>
  </property>
</Properties>
</file>