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370" w:rsidRPr="00317B0F" w:rsidRDefault="004D6370" w:rsidP="004D6370">
      <w:pPr>
        <w:rPr>
          <w:rFonts w:ascii="黑体" w:eastAsia="黑体" w:hAnsi="黑体" w:hint="eastAsia"/>
          <w:sz w:val="30"/>
          <w:szCs w:val="30"/>
        </w:rPr>
      </w:pPr>
      <w:r w:rsidRPr="00317B0F">
        <w:rPr>
          <w:rFonts w:ascii="黑体" w:eastAsia="黑体" w:hAnsi="黑体" w:hint="eastAsia"/>
          <w:sz w:val="30"/>
          <w:szCs w:val="30"/>
        </w:rPr>
        <w:t>附件</w:t>
      </w:r>
      <w:r>
        <w:rPr>
          <w:rFonts w:ascii="黑体" w:eastAsia="黑体" w:hAnsi="黑体" w:hint="eastAsia"/>
          <w:sz w:val="30"/>
          <w:szCs w:val="30"/>
        </w:rPr>
        <w:t>1</w:t>
      </w:r>
    </w:p>
    <w:p w:rsidR="004D6370" w:rsidRPr="00317B0F" w:rsidRDefault="004D6370" w:rsidP="004D6370">
      <w:pPr>
        <w:jc w:val="center"/>
        <w:rPr>
          <w:rFonts w:ascii="方正小标宋简体" w:eastAsia="方正小标宋简体" w:hAnsi="方正小标宋简体" w:cs="方正小标宋简体" w:hint="eastAsia"/>
          <w:sz w:val="40"/>
          <w:szCs w:val="40"/>
        </w:rPr>
      </w:pPr>
      <w:r w:rsidRPr="00317B0F">
        <w:rPr>
          <w:rFonts w:ascii="方正小标宋简体" w:eastAsia="方正小标宋简体" w:hAnsi="方正小标宋简体" w:cs="方正小标宋简体" w:hint="eastAsia"/>
          <w:sz w:val="40"/>
          <w:szCs w:val="40"/>
        </w:rPr>
        <w:t>区管企业公务卡强制结算目录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9"/>
        <w:gridCol w:w="1950"/>
        <w:gridCol w:w="5873"/>
      </w:tblGrid>
      <w:tr w:rsidR="004D6370" w:rsidRPr="00C3633A" w:rsidTr="001217EB">
        <w:trPr>
          <w:trHeight w:val="590"/>
          <w:jc w:val="center"/>
        </w:trPr>
        <w:tc>
          <w:tcPr>
            <w:tcW w:w="699" w:type="dxa"/>
            <w:shd w:val="clear" w:color="auto" w:fill="auto"/>
          </w:tcPr>
          <w:p w:rsidR="004D6370" w:rsidRPr="00C3633A" w:rsidRDefault="004D6370" w:rsidP="001217EB">
            <w:pPr>
              <w:jc w:val="center"/>
              <w:rPr>
                <w:rFonts w:ascii="方正小标宋简体" w:eastAsia="方正小标宋简体" w:hAnsi="方正小标宋简体" w:cs="方正小标宋简体" w:hint="eastAsia"/>
                <w:sz w:val="24"/>
              </w:rPr>
            </w:pPr>
            <w:r w:rsidRPr="00C3633A">
              <w:rPr>
                <w:rFonts w:ascii="方正小标宋简体" w:eastAsia="方正小标宋简体" w:hAnsi="方正小标宋简体" w:cs="方正小标宋简体" w:hint="eastAsia"/>
                <w:sz w:val="24"/>
              </w:rPr>
              <w:t>序号</w:t>
            </w:r>
          </w:p>
        </w:tc>
        <w:tc>
          <w:tcPr>
            <w:tcW w:w="1950" w:type="dxa"/>
            <w:shd w:val="clear" w:color="auto" w:fill="auto"/>
          </w:tcPr>
          <w:p w:rsidR="004D6370" w:rsidRPr="00C3633A" w:rsidRDefault="004D6370" w:rsidP="001217EB">
            <w:pPr>
              <w:jc w:val="center"/>
              <w:rPr>
                <w:rFonts w:ascii="方正小标宋简体" w:eastAsia="方正小标宋简体" w:hAnsi="方正小标宋简体" w:cs="方正小标宋简体" w:hint="eastAsia"/>
                <w:sz w:val="24"/>
              </w:rPr>
            </w:pPr>
            <w:r w:rsidRPr="00C3633A">
              <w:rPr>
                <w:rFonts w:ascii="方正小标宋简体" w:eastAsia="方正小标宋简体" w:hAnsi="方正小标宋简体" w:cs="方正小标宋简体" w:hint="eastAsia"/>
                <w:sz w:val="24"/>
              </w:rPr>
              <w:t>公务卡支付项目</w:t>
            </w:r>
          </w:p>
        </w:tc>
        <w:tc>
          <w:tcPr>
            <w:tcW w:w="5873" w:type="dxa"/>
            <w:shd w:val="clear" w:color="auto" w:fill="auto"/>
          </w:tcPr>
          <w:p w:rsidR="004D6370" w:rsidRPr="00C3633A" w:rsidRDefault="004D6370" w:rsidP="001217EB">
            <w:pPr>
              <w:jc w:val="center"/>
              <w:rPr>
                <w:rFonts w:ascii="方正小标宋简体" w:eastAsia="方正小标宋简体" w:hAnsi="方正小标宋简体" w:cs="方正小标宋简体" w:hint="eastAsia"/>
                <w:sz w:val="24"/>
              </w:rPr>
            </w:pPr>
            <w:r w:rsidRPr="00C3633A">
              <w:rPr>
                <w:rFonts w:ascii="方正小标宋简体" w:eastAsia="方正小标宋简体" w:hAnsi="方正小标宋简体" w:cs="方正小标宋简体" w:hint="eastAsia"/>
                <w:sz w:val="24"/>
              </w:rPr>
              <w:t>备   注</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01</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办公费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指单位购买按财务会计制度规定不符合固定资产确认标准的日常办公用品支出、书报杂志等。包括笔、墨等正常办公用品以及计算机、打印机、复印机等的维修维护。</w:t>
            </w:r>
          </w:p>
        </w:tc>
      </w:tr>
      <w:tr w:rsidR="004D6370" w:rsidRPr="00C3633A" w:rsidTr="001217EB">
        <w:trPr>
          <w:trHeight w:val="435"/>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02</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印刷费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指单位的零星印刷支出。</w:t>
            </w:r>
          </w:p>
        </w:tc>
      </w:tr>
      <w:tr w:rsidR="004D6370" w:rsidRPr="00C3633A" w:rsidTr="001217EB">
        <w:trPr>
          <w:trHeight w:val="445"/>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03</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咨询费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指单位咨询方面的支出。</w:t>
            </w:r>
          </w:p>
        </w:tc>
      </w:tr>
      <w:tr w:rsidR="004D6370" w:rsidRPr="00C3633A" w:rsidTr="001217EB">
        <w:trPr>
          <w:trHeight w:val="43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04</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手续费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指单位支付的各类手续费。</w:t>
            </w:r>
          </w:p>
        </w:tc>
      </w:tr>
      <w:tr w:rsidR="004D6370" w:rsidRPr="00C3633A" w:rsidTr="001217EB">
        <w:trPr>
          <w:trHeight w:val="475"/>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05</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水电费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指单位支付的水电费支出。</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06</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邮电费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指单位开支的邮寄费、电话费、电报费、传真费和网络通讯费等支出。</w:t>
            </w:r>
          </w:p>
        </w:tc>
      </w:tr>
      <w:tr w:rsidR="004D6370" w:rsidRPr="00C3633A" w:rsidTr="001217EB">
        <w:trPr>
          <w:trHeight w:val="495"/>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07</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差旅费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指单位工作人员因出差支付的住宿费、购买机票支出等。</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08</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维修（护）费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指单位日常开支的固定资产（不包括车船等交通工具）修理和维护费用，网络信息系统运行与维护费用。</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09</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租赁费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指租赁办公用房、宿舍、专用通讯网以及其它设备等方面的支出。</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10</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会议费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指单位主办会议中按规定开支的房租费、餐饮费以及文件资料印刷费、会议场地租用费等支出。</w:t>
            </w:r>
          </w:p>
        </w:tc>
      </w:tr>
      <w:tr w:rsidR="004D6370" w:rsidRPr="00C3633A" w:rsidTr="001217EB">
        <w:trPr>
          <w:trHeight w:val="4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11</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培训费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指各类培训支出。</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12</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公务接待费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指单位按规定开支的各类公务接待（含外宾接待）费用。</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13</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专用材料费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指单位购买日常专用材料，如药品及医疗耗材、实验室用品、消耗性体育用品、专用工具和仪器等发生的支出。</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14</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公务用车运行维护费</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指单位公务用车燃料费、维修费、保险费等支出。</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15</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其它交通费用</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指单位除公务用车运行维护费以外的其他交通费用。如船舶等燃料费、维修费、保险费等。</w:t>
            </w:r>
          </w:p>
        </w:tc>
      </w:tr>
      <w:tr w:rsidR="004D6370" w:rsidRPr="00C3633A" w:rsidTr="001217EB">
        <w:trPr>
          <w:trHeight w:val="590"/>
          <w:jc w:val="center"/>
        </w:trPr>
        <w:tc>
          <w:tcPr>
            <w:tcW w:w="699" w:type="dxa"/>
            <w:shd w:val="clear" w:color="auto" w:fill="auto"/>
            <w:vAlign w:val="center"/>
          </w:tcPr>
          <w:p w:rsidR="004D6370" w:rsidRPr="00C3633A" w:rsidRDefault="004D6370" w:rsidP="001217EB">
            <w:pPr>
              <w:jc w:val="center"/>
              <w:rPr>
                <w:rFonts w:ascii="仿宋_GB2312" w:eastAsia="仿宋_GB2312" w:hAnsi="仿宋_GB2312" w:cs="仿宋_GB2312" w:hint="eastAsia"/>
                <w:sz w:val="24"/>
              </w:rPr>
            </w:pPr>
            <w:r w:rsidRPr="00C3633A">
              <w:rPr>
                <w:rFonts w:ascii="仿宋_GB2312" w:eastAsia="仿宋_GB2312" w:hAnsi="仿宋_GB2312" w:cs="仿宋_GB2312" w:hint="eastAsia"/>
                <w:sz w:val="24"/>
              </w:rPr>
              <w:t>16</w:t>
            </w:r>
          </w:p>
        </w:tc>
        <w:tc>
          <w:tcPr>
            <w:tcW w:w="1950"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其它商品和服务支出</w:t>
            </w:r>
          </w:p>
        </w:tc>
        <w:tc>
          <w:tcPr>
            <w:tcW w:w="5873" w:type="dxa"/>
            <w:shd w:val="clear" w:color="auto" w:fill="auto"/>
            <w:vAlign w:val="center"/>
          </w:tcPr>
          <w:p w:rsidR="004D6370" w:rsidRPr="00C3633A" w:rsidRDefault="004D6370" w:rsidP="001217EB">
            <w:pPr>
              <w:jc w:val="left"/>
              <w:rPr>
                <w:rFonts w:ascii="仿宋_GB2312" w:eastAsia="仿宋_GB2312" w:hAnsi="仿宋_GB2312" w:cs="仿宋_GB2312" w:hint="eastAsia"/>
                <w:sz w:val="24"/>
              </w:rPr>
            </w:pPr>
            <w:r w:rsidRPr="00C3633A">
              <w:rPr>
                <w:rFonts w:ascii="仿宋_GB2312" w:eastAsia="仿宋_GB2312" w:hAnsi="仿宋_GB2312" w:cs="仿宋_GB2312" w:hint="eastAsia"/>
                <w:sz w:val="24"/>
              </w:rPr>
              <w:t>指上述项目中未包括，但适合采用公务卡结算的支出项目。</w:t>
            </w:r>
          </w:p>
        </w:tc>
      </w:tr>
    </w:tbl>
    <w:p w:rsidR="003B099F" w:rsidRPr="003B099F" w:rsidRDefault="004D6370">
      <w:r>
        <w:rPr>
          <w:rFonts w:ascii="仿宋_GB2312" w:eastAsia="仿宋_GB2312" w:hAnsi="仿宋_GB2312" w:cs="仿宋_GB2312" w:hint="eastAsia"/>
          <w:sz w:val="24"/>
        </w:rPr>
        <w:t xml:space="preserve">    注：凡目录规定的公务支出项目，必须按规定使用公务卡结算，不得再使用现金结算（符合“执行公务卡制度后现金支付范围的支出”除外）。上述项目原使用转账方式结算的，继续使用转账方式。</w:t>
      </w:r>
    </w:p>
    <w:sectPr w:rsidR="003B099F" w:rsidRPr="003B099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B099F"/>
    <w:rsid w:val="003B099F"/>
    <w:rsid w:val="004D63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99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B099F"/>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Char"/>
    <w:rsid w:val="003B0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HTMLChar">
    <w:name w:val="HTML 预设格式 Char"/>
    <w:basedOn w:val="a0"/>
    <w:link w:val="HTML"/>
    <w:rsid w:val="003B099F"/>
    <w:rPr>
      <w:rFonts w:ascii="宋体" w:eastAsia="宋体" w:hAnsi="宋体"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378</Words>
  <Characters>378</Characters>
  <Application>Microsoft Office Word</Application>
  <DocSecurity>0</DocSecurity>
  <Lines>18</Lines>
  <Paragraphs>12</Paragraphs>
  <ScaleCrop>false</ScaleCrop>
  <Company/>
  <LinksUpToDate>false</LinksUpToDate>
  <CharactersWithSpaces>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2018-05-04T03:24:00Z</dcterms:created>
  <dcterms:modified xsi:type="dcterms:W3CDTF">2018-05-04T05:32:00Z</dcterms:modified>
</cp:coreProperties>
</file>