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-23FXSG-A174</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上海印青实业有限公司：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建筑装修装饰工程 二级 净资产、注册人员、</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EED0C05"/>
    <w:rsid w:val="265C13C2"/>
    <w:rsid w:val="26E12156"/>
    <w:rsid w:val="27E57DD5"/>
    <w:rsid w:val="2AFF108A"/>
    <w:rsid w:val="2F0D64AD"/>
    <w:rsid w:val="2FC06D76"/>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2023-08-01T08:34:46Z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