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jc w:val="center"/>
        <w:rPr>
          <w:rFonts w:ascii="黑体" w:hAnsi="宋体" w:eastAsia="黑体"/>
          <w:b/>
          <w:snapToGrid w:val="0"/>
          <w:color w:val="FF0000"/>
          <w:sz w:val="36"/>
          <w:szCs w:val="36"/>
        </w:rPr>
      </w:pPr>
      <w:r>
        <w:rPr>
          <w:rFonts w:hint="eastAsia" w:ascii="黑体" w:hAnsi="宋体" w:eastAsia="黑体"/>
          <w:b/>
          <w:snapToGrid w:val="0"/>
          <w:color w:val="FF0000"/>
          <w:sz w:val="36"/>
          <w:szCs w:val="36"/>
        </w:rPr>
        <w:t>上海市建设工程企业资质动态核查整改通知书</w:t>
      </w:r>
    </w:p>
    <w:p>
      <w:pPr>
        <w:autoSpaceDE w:val="0"/>
        <w:autoSpaceDN w:val="0"/>
        <w:ind w:firstLine="573"/>
        <w:rPr>
          <w:rFonts w:ascii="宋体" w:hAnsi="宋体"/>
          <w:b/>
          <w:snapToGrid w:val="0"/>
          <w:szCs w:val="21"/>
        </w:rPr>
      </w:pPr>
    </w:p>
    <w:tbl>
      <w:tblPr>
        <w:tblStyle w:val="7"/>
        <w:tblW w:w="8831" w:type="dxa"/>
        <w:jc w:val="center"/>
        <w:tblBorders>
          <w:top w:val="single" w:color="FF0000" w:sz="36"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831"/>
      </w:tblGrid>
      <w:tr>
        <w:tblPrEx>
          <w:tblBorders>
            <w:top w:val="single" w:color="FF0000" w:sz="36"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 w:hRule="atLeast"/>
          <w:jc w:val="center"/>
        </w:trPr>
        <w:tc>
          <w:tcPr>
            <w:tcW w:w="8831" w:type="dxa"/>
          </w:tcPr>
          <w:p>
            <w:pPr>
              <w:autoSpaceDE w:val="0"/>
              <w:autoSpaceDN w:val="0"/>
              <w:rPr>
                <w:rFonts w:ascii="仿宋_GB2312" w:eastAsia="仿宋_GB2312"/>
                <w:b/>
                <w:snapToGrid w:val="0"/>
                <w:sz w:val="36"/>
                <w:szCs w:val="36"/>
              </w:rPr>
            </w:pPr>
          </w:p>
        </w:tc>
      </w:tr>
    </w:tbl>
    <w:p>
      <w:pPr>
        <w:autoSpaceDE w:val="0"/>
        <w:autoSpaceDN w:val="0"/>
        <w:spacing w:line="240" w:lineRule="atLeast"/>
        <w:rPr>
          <w:rFonts w:hint="default" w:ascii="仿宋_GB2312" w:eastAsia="仿宋_GB2312"/>
          <w:snapToGrid w:val="0"/>
          <w:sz w:val="28"/>
          <w:szCs w:val="28"/>
          <w:lang w:val="en-US"/>
        </w:rPr>
      </w:pPr>
      <w:r>
        <w:rPr>
          <w:rFonts w:hint="eastAsia" w:ascii="仿宋_GB2312" w:eastAsia="仿宋_GB2312"/>
          <w:snapToGrid w:val="0"/>
          <w:sz w:val="24"/>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编号：</w:t>
      </w:r>
      <w:r>
        <w:rPr>
          <w:rFonts w:hint="eastAsia" w:ascii="仿宋_GB2312" w:eastAsia="仿宋_GB2312"/>
          <w:snapToGrid w:val="0"/>
          <w:sz w:val="28"/>
          <w:szCs w:val="28"/>
          <w:lang w:eastAsia="zh-CN"/>
        </w:rPr>
        <w:t>施工</w:t>
      </w:r>
      <w:r>
        <w:rPr>
          <w:rFonts w:hint="eastAsia" w:ascii="仿宋_GB2312" w:eastAsia="仿宋_GB2312"/>
          <w:snapToGrid w:val="0"/>
          <w:sz w:val="28"/>
          <w:szCs w:val="28"/>
          <w:lang w:val="en-US" w:eastAsia="zh-CN"/>
        </w:rPr>
        <w:t>-23FXSG-A076</w:t>
      </w:r>
    </w:p>
    <w:p>
      <w:pPr>
        <w:autoSpaceDE w:val="0"/>
        <w:autoSpaceDN w:val="0"/>
        <w:spacing w:line="360" w:lineRule="auto"/>
        <w:rPr>
          <w:rFonts w:ascii="仿宋_GB2312" w:eastAsia="仿宋_GB2312"/>
          <w:snapToGrid w:val="0"/>
          <w:sz w:val="28"/>
          <w:szCs w:val="28"/>
        </w:rPr>
      </w:pPr>
      <w:r>
        <w:rPr>
          <w:rFonts w:hint="eastAsia" w:ascii="仿宋_GB2312" w:eastAsia="仿宋_GB2312"/>
          <w:bCs/>
          <w:snapToGrid w:val="0"/>
          <w:sz w:val="28"/>
          <w:szCs w:val="28"/>
          <w:u w:val="single"/>
        </w:rPr>
        <w:t>上海和邑建设有限公司</w:t>
      </w:r>
      <w:r>
        <w:rPr>
          <w:rFonts w:hint="eastAsia" w:ascii="仿宋_GB2312" w:eastAsia="仿宋_GB2312"/>
          <w:snapToGrid w:val="0"/>
          <w:sz w:val="28"/>
          <w:szCs w:val="28"/>
        </w:rPr>
        <w:t>：</w:t>
      </w:r>
    </w:p>
    <w:p>
      <w:pPr>
        <w:autoSpaceDE w:val="0"/>
        <w:autoSpaceDN w:val="0"/>
        <w:spacing w:line="360" w:lineRule="auto"/>
        <w:ind w:firstLine="560" w:firstLineChars="200"/>
        <w:rPr>
          <w:rFonts w:ascii="仿宋_GB2312" w:eastAsia="仿宋_GB2312"/>
          <w:snapToGrid w:val="0"/>
          <w:sz w:val="28"/>
          <w:szCs w:val="28"/>
          <w:u w:val="single"/>
        </w:rPr>
      </w:pPr>
      <w:r>
        <w:rPr>
          <w:rFonts w:hint="eastAsia" w:ascii="仿宋_GB2312" w:eastAsia="仿宋_GB2312"/>
          <w:bCs/>
          <w:snapToGrid w:val="0"/>
          <w:sz w:val="28"/>
          <w:szCs w:val="28"/>
        </w:rPr>
        <w:t>根据《上海市建筑市场管理条例》（</w:t>
      </w:r>
      <w:r>
        <w:rPr>
          <w:rFonts w:ascii="仿宋_GB2312" w:eastAsia="仿宋_GB2312"/>
          <w:bCs/>
          <w:snapToGrid w:val="0"/>
          <w:sz w:val="28"/>
          <w:szCs w:val="28"/>
        </w:rPr>
        <w:t>上海市人民代表大会常务委员会第16号公告</w:t>
      </w:r>
      <w:r>
        <w:rPr>
          <w:rFonts w:hint="eastAsia" w:ascii="仿宋_GB2312" w:eastAsia="仿宋_GB2312"/>
          <w:bCs/>
          <w:snapToGrid w:val="0"/>
          <w:sz w:val="28"/>
          <w:szCs w:val="28"/>
        </w:rPr>
        <w:t>）和《关于加强建筑市场资质资格动态监管完善企业和人员准入清出制度的指导意见》（建市[2010]128号）的有关要求</w:t>
      </w:r>
      <w:r>
        <w:rPr>
          <w:rFonts w:hint="eastAsia" w:ascii="仿宋_GB2312" w:eastAsia="仿宋_GB2312"/>
          <w:snapToGrid w:val="0"/>
          <w:sz w:val="28"/>
          <w:szCs w:val="28"/>
        </w:rPr>
        <w:t>，我委根据《住房城乡建设部关于印发&lt;建筑业企业资质标准&gt;的通知》（建市[2014]159号），依法对你单位的资质进行了核查，结果为“不达标”。具体情况如下：</w:t>
      </w:r>
    </w:p>
    <w:p>
      <w:pPr>
        <w:autoSpaceDE w:val="0"/>
        <w:autoSpaceDN w:val="0"/>
        <w:spacing w:line="520" w:lineRule="exact"/>
        <w:ind w:firstLine="437"/>
        <w:rPr>
          <w:rFonts w:ascii="仿宋_GB2312" w:eastAsia="仿宋_GB2312"/>
          <w:snapToGrid w:val="0"/>
          <w:sz w:val="28"/>
          <w:szCs w:val="28"/>
        </w:rPr>
      </w:pPr>
      <w:r>
        <w:rPr>
          <w:rFonts w:hint="eastAsia" w:ascii="仿宋_GB2312" w:eastAsia="仿宋_GB2312"/>
          <w:snapToGrid w:val="0"/>
          <w:sz w:val="28"/>
          <w:szCs w:val="28"/>
        </w:rPr>
        <w:t>1、</w:t>
      </w:r>
      <w:r>
        <w:rPr>
          <w:rFonts w:hint="eastAsia" w:ascii="微软雅黑" w:hAnsi="微软雅黑" w:eastAsia="微软雅黑"/>
          <w:color w:val="333333"/>
          <w:u w:val="single"/>
          <w:shd w:val="clear" w:color="auto" w:fill="FFFFFF"/>
        </w:rPr>
        <w:t xml:space="preserve"> 建筑工程 </w:t>
      </w:r>
      <w:r>
        <w:rPr>
          <w:rFonts w:hint="eastAsia" w:ascii="微软雅黑" w:hAnsi="微软雅黑" w:eastAsia="微软雅黑"/>
          <w:color w:val="333333"/>
          <w:u w:val="single"/>
          <w:shd w:val="clear" w:color="auto" w:fill="FFFFFF"/>
          <w:lang w:val="en-US" w:eastAsia="zh-CN"/>
        </w:rPr>
        <w:t>三</w:t>
      </w:r>
      <w:r>
        <w:rPr>
          <w:rFonts w:hint="eastAsia" w:ascii="微软雅黑" w:hAnsi="微软雅黑" w:eastAsia="微软雅黑"/>
          <w:color w:val="333333"/>
          <w:u w:val="single"/>
          <w:shd w:val="clear" w:color="auto" w:fill="FFFFFF"/>
          <w:lang w:eastAsia="zh-CN"/>
        </w:rPr>
        <w:t>级</w:t>
      </w:r>
      <w:r>
        <w:rPr>
          <w:rFonts w:hint="eastAsia" w:ascii="微软雅黑" w:hAnsi="微软雅黑" w:eastAsia="微软雅黑"/>
          <w:color w:val="333333"/>
          <w:u w:val="single"/>
          <w:shd w:val="clear" w:color="auto" w:fill="FFFFFF"/>
          <w:lang w:val="en-US" w:eastAsia="zh-CN"/>
        </w:rPr>
        <w:t xml:space="preserve"> 净资产、注册人员、技术负责人和中级职称人员不符合标准。</w:t>
      </w:r>
      <w:r>
        <w:rPr>
          <w:rFonts w:hint="eastAsia" w:ascii="微软雅黑" w:hAnsi="微软雅黑" w:eastAsia="微软雅黑"/>
          <w:color w:val="333333"/>
          <w:u w:val="single"/>
          <w:shd w:val="clear" w:color="auto" w:fill="FFFFFF"/>
        </w:rPr>
        <w:t xml:space="preserve">                                                   </w:t>
      </w:r>
      <w:r>
        <w:rPr>
          <w:rFonts w:hint="eastAsia" w:ascii="微软雅黑" w:hAnsi="微软雅黑" w:eastAsia="微软雅黑"/>
          <w:color w:val="333333"/>
          <w:u w:val="single"/>
          <w:shd w:val="clear" w:color="auto" w:fill="FFFFFF"/>
          <w:lang w:val="en-US" w:eastAsia="zh-CN"/>
        </w:rPr>
        <w:t xml:space="preserve">           </w:t>
      </w:r>
      <w:r>
        <w:rPr>
          <w:rFonts w:hint="eastAsia" w:ascii="微软雅黑" w:hAnsi="微软雅黑" w:eastAsia="微软雅黑"/>
          <w:color w:val="333333"/>
          <w:u w:val="single"/>
          <w:shd w:val="clear" w:color="auto" w:fill="FFFFFF"/>
        </w:rPr>
        <w:t xml:space="preserve">           </w:t>
      </w:r>
    </w:p>
    <w:p>
      <w:pPr>
        <w:autoSpaceDE w:val="0"/>
        <w:autoSpaceDN w:val="0"/>
        <w:spacing w:line="520" w:lineRule="exact"/>
        <w:ind w:firstLine="437"/>
        <w:rPr>
          <w:rFonts w:ascii="仿宋_GB2312" w:eastAsia="仿宋_GB2312"/>
          <w:snapToGrid w:val="0"/>
          <w:sz w:val="28"/>
          <w:szCs w:val="28"/>
        </w:rPr>
      </w:pPr>
      <w:r>
        <w:rPr>
          <w:rFonts w:hint="eastAsia" w:ascii="仿宋_GB2312" w:eastAsia="仿宋_GB2312"/>
          <w:snapToGrid w:val="0"/>
          <w:sz w:val="28"/>
          <w:szCs w:val="28"/>
        </w:rPr>
        <w:t>2、</w:t>
      </w:r>
      <w:bookmarkStart w:id="0" w:name="_GoBack"/>
      <w:bookmarkEnd w:id="0"/>
      <w:r>
        <w:rPr>
          <w:rFonts w:hint="eastAsia" w:ascii="微软雅黑" w:hAnsi="微软雅黑" w:eastAsia="微软雅黑"/>
          <w:color w:val="333333"/>
          <w:u w:val="single"/>
          <w:shd w:val="clear" w:color="auto" w:fill="FFFFFF"/>
        </w:rPr>
        <w:t xml:space="preserve">市政公用工程 </w:t>
      </w:r>
      <w:r>
        <w:rPr>
          <w:rFonts w:hint="eastAsia" w:ascii="微软雅黑" w:hAnsi="微软雅黑" w:eastAsia="微软雅黑"/>
          <w:color w:val="333333"/>
          <w:u w:val="single"/>
          <w:shd w:val="clear" w:color="auto" w:fill="FFFFFF"/>
          <w:lang w:eastAsia="zh-CN"/>
        </w:rPr>
        <w:t>三级</w:t>
      </w:r>
      <w:r>
        <w:rPr>
          <w:rFonts w:hint="eastAsia" w:ascii="微软雅黑" w:hAnsi="微软雅黑" w:eastAsia="微软雅黑"/>
          <w:color w:val="333333"/>
          <w:u w:val="single"/>
          <w:shd w:val="clear" w:color="auto" w:fill="FFFFFF"/>
          <w:lang w:val="en-US" w:eastAsia="zh-CN"/>
        </w:rPr>
        <w:t xml:space="preserve"> 净资产、注册人员、技术负责人和中级职称人员不符合标准。</w:t>
      </w:r>
      <w:r>
        <w:rPr>
          <w:rFonts w:hint="eastAsia" w:ascii="微软雅黑" w:hAnsi="微软雅黑" w:eastAsia="微软雅黑"/>
          <w:color w:val="333333"/>
          <w:u w:val="single"/>
          <w:shd w:val="clear" w:color="auto" w:fill="FFFFFF"/>
        </w:rPr>
        <w:t xml:space="preserve">                                                         </w:t>
      </w:r>
    </w:p>
    <w:p>
      <w:pPr>
        <w:autoSpaceDE w:val="0"/>
        <w:autoSpaceDN w:val="0"/>
        <w:spacing w:line="520" w:lineRule="exact"/>
        <w:ind w:firstLine="437"/>
        <w:rPr>
          <w:rFonts w:hint="default" w:ascii="微软雅黑" w:hAnsi="微软雅黑" w:eastAsia="微软雅黑"/>
          <w:color w:val="333333"/>
          <w:u w:val="single"/>
          <w:shd w:val="clear" w:color="auto" w:fill="FFFFFF"/>
          <w:lang w:val="en-US" w:eastAsia="zh-CN"/>
        </w:rPr>
      </w:pPr>
      <w:r>
        <w:rPr>
          <w:rFonts w:hint="eastAsia" w:ascii="仿宋_GB2312" w:eastAsia="仿宋_GB2312"/>
          <w:snapToGrid w:val="0"/>
          <w:sz w:val="28"/>
          <w:szCs w:val="28"/>
        </w:rPr>
        <w:t>3、</w:t>
      </w:r>
      <w:r>
        <w:rPr>
          <w:rFonts w:hint="eastAsia" w:ascii="微软雅黑" w:hAnsi="微软雅黑" w:eastAsia="微软雅黑"/>
          <w:color w:val="333333"/>
          <w:u w:val="single"/>
          <w:shd w:val="clear" w:color="auto" w:fill="FFFFFF"/>
          <w:lang w:val="en-US" w:eastAsia="zh-CN"/>
        </w:rPr>
        <w:t xml:space="preserve"> </w:t>
      </w:r>
      <w:r>
        <w:rPr>
          <w:rFonts w:hint="eastAsia" w:ascii="微软雅黑" w:hAnsi="微软雅黑" w:eastAsia="微软雅黑"/>
          <w:color w:val="333333"/>
          <w:u w:val="single"/>
          <w:shd w:val="clear" w:color="auto" w:fill="FFFFFF"/>
        </w:rPr>
        <w:t xml:space="preserve">建筑装修装饰工程 </w:t>
      </w:r>
      <w:r>
        <w:rPr>
          <w:rFonts w:hint="eastAsia" w:ascii="微软雅黑" w:hAnsi="微软雅黑" w:eastAsia="微软雅黑"/>
          <w:color w:val="333333"/>
          <w:u w:val="single"/>
          <w:shd w:val="clear" w:color="auto" w:fill="FFFFFF"/>
          <w:lang w:eastAsia="zh-CN"/>
        </w:rPr>
        <w:t>二级</w:t>
      </w:r>
      <w:r>
        <w:rPr>
          <w:rFonts w:hint="eastAsia" w:ascii="微软雅黑" w:hAnsi="微软雅黑" w:eastAsia="微软雅黑"/>
          <w:color w:val="333333"/>
          <w:u w:val="single"/>
          <w:shd w:val="clear" w:color="auto" w:fill="FFFFFF"/>
          <w:lang w:val="en-US" w:eastAsia="zh-CN"/>
        </w:rPr>
        <w:t xml:space="preserve"> 净资产、注册人员、技术负责人和中级职称人员不符合标准。                                                                             </w:t>
      </w:r>
    </w:p>
    <w:p>
      <w:pPr>
        <w:autoSpaceDE w:val="0"/>
        <w:autoSpaceDN w:val="0"/>
        <w:spacing w:line="520" w:lineRule="exact"/>
        <w:ind w:firstLine="437"/>
        <w:rPr>
          <w:rFonts w:hint="eastAsia" w:ascii="微软雅黑" w:hAnsi="微软雅黑" w:eastAsia="微软雅黑"/>
          <w:color w:val="333333"/>
          <w:u w:val="single"/>
          <w:shd w:val="clear" w:color="auto" w:fill="FFFFFF"/>
          <w:lang w:val="en-US" w:eastAsia="zh-CN"/>
        </w:rPr>
      </w:pPr>
      <w:r>
        <w:rPr>
          <w:rFonts w:hint="eastAsia" w:ascii="仿宋_GB2312" w:eastAsia="仿宋_GB2312"/>
          <w:snapToGrid w:val="0"/>
          <w:sz w:val="28"/>
          <w:szCs w:val="28"/>
        </w:rPr>
        <w:t>4、</w:t>
      </w:r>
      <w:r>
        <w:rPr>
          <w:rFonts w:hint="eastAsia" w:ascii="微软雅黑" w:hAnsi="微软雅黑" w:eastAsia="微软雅黑"/>
          <w:color w:val="333333"/>
          <w:u w:val="single"/>
          <w:shd w:val="clear" w:color="auto" w:fill="FFFFFF"/>
          <w:lang w:val="en-US" w:eastAsia="zh-CN"/>
        </w:rPr>
        <w:t xml:space="preserve">                                                                              </w:t>
      </w:r>
    </w:p>
    <w:p>
      <w:pPr>
        <w:autoSpaceDE w:val="0"/>
        <w:autoSpaceDN w:val="0"/>
        <w:spacing w:line="520" w:lineRule="exact"/>
        <w:ind w:firstLine="437"/>
        <w:rPr>
          <w:rFonts w:ascii="仿宋_GB2312" w:eastAsia="仿宋_GB2312"/>
          <w:snapToGrid w:val="0"/>
          <w:sz w:val="28"/>
          <w:szCs w:val="28"/>
        </w:rPr>
      </w:pPr>
      <w:r>
        <w:rPr>
          <w:rFonts w:hint="eastAsia" w:ascii="仿宋_GB2312" w:eastAsia="仿宋_GB2312"/>
          <w:snapToGrid w:val="0"/>
          <w:sz w:val="28"/>
          <w:szCs w:val="28"/>
        </w:rPr>
        <w:t>5、</w:t>
      </w:r>
      <w:r>
        <w:rPr>
          <w:rFonts w:hint="eastAsia" w:ascii="微软雅黑" w:hAnsi="微软雅黑" w:eastAsia="微软雅黑"/>
          <w:color w:val="333333"/>
          <w:shd w:val="clear" w:color="auto" w:fill="FFFFFF"/>
          <w:lang w:val="en-US" w:eastAsia="zh-CN"/>
        </w:rPr>
        <w:t xml:space="preserve"> </w:t>
      </w:r>
      <w:r>
        <w:rPr>
          <w:rFonts w:hint="eastAsia" w:ascii="微软雅黑" w:hAnsi="微软雅黑" w:eastAsia="微软雅黑"/>
          <w:color w:val="333333"/>
          <w:shd w:val="clear" w:color="auto" w:fill="FFFFFF"/>
        </w:rPr>
        <w:t>_______________________________________________________________________________________</w:t>
      </w:r>
    </w:p>
    <w:p>
      <w:pPr>
        <w:autoSpaceDE w:val="0"/>
        <w:autoSpaceDN w:val="0"/>
        <w:spacing w:line="240" w:lineRule="atLeast"/>
        <w:ind w:firstLine="482"/>
        <w:rPr>
          <w:rFonts w:ascii="仿宋_GB2312" w:eastAsia="仿宋_GB2312"/>
          <w:snapToGrid w:val="0"/>
          <w:sz w:val="28"/>
          <w:szCs w:val="28"/>
        </w:rPr>
      </w:pPr>
    </w:p>
    <w:p>
      <w:pPr>
        <w:autoSpaceDE w:val="0"/>
        <w:autoSpaceDN w:val="0"/>
        <w:spacing w:afterLines="100"/>
        <w:ind w:left="210" w:leftChars="100" w:firstLine="560" w:firstLineChars="200"/>
        <w:rPr>
          <w:rFonts w:ascii="仿宋_GB2312" w:eastAsia="仿宋_GB2312"/>
          <w:snapToGrid w:val="0"/>
          <w:sz w:val="28"/>
          <w:szCs w:val="28"/>
        </w:rPr>
      </w:pPr>
      <w:r>
        <w:rPr>
          <w:rFonts w:hint="eastAsia" w:ascii="仿宋_GB2312" w:eastAsia="仿宋_GB2312"/>
          <w:snapToGrid w:val="0"/>
          <w:sz w:val="28"/>
          <w:szCs w:val="28"/>
        </w:rPr>
        <w:t>根据</w:t>
      </w:r>
      <w:r>
        <w:rPr>
          <w:rFonts w:hint="eastAsia" w:ascii="仿宋_GB2312" w:eastAsia="仿宋_GB2312"/>
          <w:b/>
          <w:snapToGrid w:val="0"/>
          <w:sz w:val="28"/>
          <w:szCs w:val="28"/>
        </w:rPr>
        <w:t>《建筑业企业资质管理规定》（中华人民共和国住房和城乡建设部令第22号）第二十八条</w:t>
      </w:r>
      <w:r>
        <w:rPr>
          <w:rFonts w:hint="eastAsia" w:ascii="仿宋_GB2312" w:eastAsia="仿宋_GB2312"/>
          <w:snapToGrid w:val="0"/>
          <w:sz w:val="28"/>
          <w:szCs w:val="28"/>
        </w:rPr>
        <w:t>之规定，现责令你单位依法进行整改。你单位收到本通知书后，应于</w:t>
      </w:r>
      <w:r>
        <w:rPr>
          <w:rFonts w:hint="eastAsia" w:ascii="仿宋_GB2312" w:eastAsia="仿宋_GB2312"/>
          <w:snapToGrid w:val="0"/>
          <w:sz w:val="28"/>
          <w:szCs w:val="28"/>
          <w:u w:val="single"/>
        </w:rPr>
        <w:t>90</w:t>
      </w:r>
      <w:r>
        <w:rPr>
          <w:rFonts w:hint="eastAsia" w:ascii="仿宋_GB2312" w:eastAsia="仿宋_GB2312"/>
          <w:snapToGrid w:val="0"/>
          <w:sz w:val="28"/>
          <w:szCs w:val="28"/>
        </w:rPr>
        <w:t>日内完成整改工作。整改未达到有关资质标准要求的，管理部门将依法予以处理。</w:t>
      </w:r>
    </w:p>
    <w:p>
      <w:pPr>
        <w:autoSpaceDE w:val="0"/>
        <w:autoSpaceDN w:val="0"/>
        <w:ind w:left="225" w:leftChars="107" w:firstLine="480" w:firstLineChars="200"/>
        <w:rPr>
          <w:rFonts w:ascii="仿宋_GB2312" w:eastAsia="仿宋_GB2312"/>
          <w:snapToGrid w:val="0"/>
          <w:sz w:val="28"/>
          <w:szCs w:val="28"/>
        </w:rPr>
      </w:pPr>
      <w:r>
        <w:rPr>
          <w:rFonts w:hint="eastAsia" w:ascii="仿宋_GB2312" w:eastAsia="仿宋_GB2312"/>
          <w:snapToGrid w:val="0"/>
          <w:sz w:val="24"/>
        </w:rPr>
        <w:drawing>
          <wp:anchor distT="0" distB="0" distL="114300" distR="114300" simplePos="0" relativeHeight="251659264" behindDoc="1" locked="0" layoutInCell="1" allowOverlap="1">
            <wp:simplePos x="0" y="0"/>
            <wp:positionH relativeFrom="column">
              <wp:posOffset>4180205</wp:posOffset>
            </wp:positionH>
            <wp:positionV relativeFrom="paragraph">
              <wp:posOffset>207010</wp:posOffset>
            </wp:positionV>
            <wp:extent cx="1408430" cy="1486535"/>
            <wp:effectExtent l="0" t="0" r="0" b="0"/>
            <wp:wrapNone/>
            <wp:docPr id="1" name="图片 1" descr="公章"/>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公章"/>
                    <pic:cNvPicPr>
                      <a:picLocks noChangeAspect="1"/>
                    </pic:cNvPicPr>
                  </pic:nvPicPr>
                  <pic:blipFill>
                    <a:blip r:embed="rId4">
                      <a:clrChange>
                        <a:clrFrom>
                          <a:srgbClr val="FFFFFF">
                            <a:alpha val="100000"/>
                          </a:srgbClr>
                        </a:clrFrom>
                        <a:clrTo>
                          <a:srgbClr val="FFFFFF">
                            <a:alpha val="100000"/>
                            <a:alpha val="0"/>
                          </a:srgbClr>
                        </a:clrTo>
                      </a:clrChange>
                    </a:blip>
                    <a:srcRect l="70852" t="61829" r="4678" b="17056"/>
                    <a:stretch>
                      <a:fillRect/>
                    </a:stretch>
                  </pic:blipFill>
                  <pic:spPr>
                    <a:xfrm>
                      <a:off x="0" y="0"/>
                      <a:ext cx="1408430" cy="1486535"/>
                    </a:xfrm>
                    <a:prstGeom prst="rect">
                      <a:avLst/>
                    </a:prstGeom>
                  </pic:spPr>
                </pic:pic>
              </a:graphicData>
            </a:graphic>
          </wp:anchor>
        </w:drawing>
      </w:r>
      <w:r>
        <w:rPr>
          <w:rFonts w:hint="eastAsia" w:ascii="仿宋_GB2312" w:eastAsia="仿宋_GB2312"/>
          <w:snapToGrid w:val="0"/>
          <w:sz w:val="28"/>
          <w:szCs w:val="28"/>
        </w:rPr>
        <w:t>整改期内不得承接新的工程任务，并暂停企业办理招投标、资质申请等手续。</w:t>
      </w:r>
    </w:p>
    <w:p>
      <w:pPr>
        <w:autoSpaceDE w:val="0"/>
        <w:autoSpaceDN w:val="0"/>
        <w:spacing w:line="360" w:lineRule="auto"/>
        <w:jc w:val="right"/>
        <w:rPr>
          <w:rFonts w:ascii="仿宋_GB2312" w:eastAsia="仿宋_GB2312"/>
          <w:snapToGrid w:val="0"/>
          <w:sz w:val="24"/>
        </w:rPr>
      </w:pPr>
    </w:p>
    <w:p>
      <w:pPr>
        <w:autoSpaceDE w:val="0"/>
        <w:autoSpaceDN w:val="0"/>
        <w:spacing w:line="360" w:lineRule="auto"/>
        <w:jc w:val="right"/>
        <w:rPr>
          <w:rFonts w:ascii="仿宋_GB2312" w:eastAsia="仿宋_GB2312"/>
          <w:snapToGrid w:val="0"/>
          <w:sz w:val="24"/>
        </w:rPr>
      </w:pPr>
    </w:p>
    <w:p>
      <w:pPr>
        <w:autoSpaceDE w:val="0"/>
        <w:autoSpaceDN w:val="0"/>
        <w:spacing w:line="360" w:lineRule="auto"/>
        <w:jc w:val="right"/>
        <w:rPr>
          <w:rFonts w:ascii="仿宋_GB2312" w:eastAsia="仿宋_GB2312"/>
          <w:snapToGrid w:val="0"/>
          <w:sz w:val="24"/>
        </w:rPr>
      </w:pPr>
      <w:r>
        <w:rPr>
          <w:rFonts w:hint="eastAsia" w:ascii="仿宋_GB2312" w:eastAsia="仿宋_GB2312"/>
          <w:snapToGrid w:val="0"/>
          <w:sz w:val="24"/>
        </w:rPr>
        <w:t>上海市住房和城乡建设管理委员会</w:t>
      </w:r>
    </w:p>
    <w:p>
      <w:pPr>
        <w:autoSpaceDE w:val="0"/>
        <w:autoSpaceDN w:val="0"/>
        <w:spacing w:line="360" w:lineRule="auto"/>
        <w:ind w:right="480"/>
        <w:jc w:val="right"/>
        <w:rPr>
          <w:rFonts w:ascii="仿宋_GB2312" w:eastAsia="仿宋_GB2312"/>
          <w:snapToGrid w:val="0"/>
          <w:sz w:val="28"/>
          <w:szCs w:val="28"/>
        </w:rPr>
      </w:pPr>
      <w:r>
        <w:rPr>
          <w:rFonts w:hint="eastAsia" w:ascii="仿宋_GB2312" w:hAnsi="仿宋_GB2312" w:eastAsia="仿宋_GB2312" w:cs="仿宋_GB2312"/>
          <w:snapToGrid w:val="0"/>
          <w:sz w:val="24"/>
          <w:lang w:val="en-US" w:eastAsia="zh-CN"/>
        </w:rPr>
        <w:t>2023</w:t>
      </w:r>
      <w:r>
        <w:rPr>
          <w:rFonts w:hint="eastAsia" w:ascii="仿宋_GB2312" w:hAnsi="仿宋_GB2312" w:eastAsia="仿宋_GB2312" w:cs="仿宋_GB2312"/>
          <w:snapToGrid w:val="0"/>
          <w:sz w:val="24"/>
        </w:rPr>
        <w:t>年</w:t>
      </w:r>
      <w:r>
        <w:rPr>
          <w:rFonts w:hint="eastAsia" w:ascii="仿宋_GB2312" w:hAnsi="仿宋_GB2312" w:eastAsia="仿宋_GB2312" w:cs="仿宋_GB2312"/>
          <w:snapToGrid w:val="0"/>
          <w:sz w:val="24"/>
          <w:lang w:val="en-US" w:eastAsia="zh-CN"/>
        </w:rPr>
        <w:t>7</w:t>
      </w:r>
      <w:r>
        <w:rPr>
          <w:rFonts w:hint="eastAsia" w:ascii="仿宋_GB2312" w:hAnsi="仿宋_GB2312" w:eastAsia="仿宋_GB2312" w:cs="仿宋_GB2312"/>
          <w:snapToGrid w:val="0"/>
          <w:sz w:val="24"/>
        </w:rPr>
        <w:t>月</w:t>
      </w:r>
      <w:r>
        <w:rPr>
          <w:rFonts w:hint="eastAsia" w:ascii="仿宋_GB2312" w:hAnsi="仿宋_GB2312" w:eastAsia="仿宋_GB2312" w:cs="仿宋_GB2312"/>
          <w:snapToGrid w:val="0"/>
          <w:sz w:val="24"/>
          <w:lang w:val="en-US" w:eastAsia="zh-CN"/>
        </w:rPr>
        <w:t>26</w:t>
      </w:r>
      <w:r>
        <w:rPr>
          <w:rFonts w:hint="eastAsia" w:ascii="仿宋_GB2312" w:eastAsia="仿宋_GB2312"/>
          <w:snapToGrid w:val="0"/>
          <w:sz w:val="24"/>
        </w:rPr>
        <w:t>日</w:t>
      </w:r>
    </w:p>
    <w:p>
      <w:pPr>
        <w:autoSpaceDE w:val="0"/>
        <w:autoSpaceDN w:val="0"/>
        <w:spacing w:line="360" w:lineRule="auto"/>
        <w:ind w:left="480" w:hanging="480" w:hangingChars="200"/>
        <w:jc w:val="left"/>
        <w:rPr>
          <w:rFonts w:ascii="仿宋_GB2312" w:eastAsia="仿宋_GB2312"/>
          <w:snapToGrid w:val="0"/>
          <w:sz w:val="24"/>
        </w:rPr>
      </w:pPr>
      <w:r>
        <w:rPr>
          <w:rFonts w:hint="eastAsia" w:ascii="仿宋_GB2312" w:eastAsia="仿宋_GB2312"/>
          <w:snapToGrid w:val="0"/>
          <w:sz w:val="24"/>
        </w:rPr>
        <w:t>本文书一式二份，管理部门和被核查企业各留存一份。</w:t>
      </w:r>
    </w:p>
    <w:tbl>
      <w:tblPr>
        <w:tblStyle w:val="7"/>
        <w:tblW w:w="928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21"/>
        <w:gridCol w:w="2322"/>
        <w:gridCol w:w="2322"/>
        <w:gridCol w:w="23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1" w:type="dxa"/>
            <w:vAlign w:val="center"/>
          </w:tcPr>
          <w:p>
            <w:pPr>
              <w:autoSpaceDE w:val="0"/>
              <w:autoSpaceDN w:val="0"/>
              <w:jc w:val="center"/>
              <w:rPr>
                <w:rFonts w:ascii="仿宋_GB2312" w:eastAsia="仿宋_GB2312"/>
                <w:snapToGrid w:val="0"/>
                <w:sz w:val="32"/>
                <w:szCs w:val="32"/>
              </w:rPr>
            </w:pPr>
            <w:r>
              <w:rPr>
                <w:rFonts w:ascii="仿宋_GB2312" w:eastAsia="仿宋_GB2312"/>
                <w:snapToGrid w:val="0"/>
                <w:sz w:val="32"/>
                <w:szCs w:val="32"/>
              </w:rPr>
              <w:t>签收单位</w:t>
            </w:r>
          </w:p>
        </w:tc>
        <w:tc>
          <w:tcPr>
            <w:tcW w:w="2322" w:type="dxa"/>
            <w:vAlign w:val="center"/>
          </w:tcPr>
          <w:p>
            <w:pPr>
              <w:autoSpaceDE w:val="0"/>
              <w:autoSpaceDN w:val="0"/>
              <w:jc w:val="center"/>
              <w:rPr>
                <w:rFonts w:ascii="仿宋_GB2312" w:eastAsia="仿宋_GB2312"/>
                <w:snapToGrid w:val="0"/>
                <w:szCs w:val="21"/>
              </w:rPr>
            </w:pPr>
            <w:r>
              <w:rPr>
                <w:rFonts w:ascii="仿宋_GB2312" w:eastAsia="仿宋_GB2312"/>
                <w:snapToGrid w:val="0"/>
                <w:szCs w:val="21"/>
              </w:rPr>
              <w:t>（盖单位公章）</w:t>
            </w:r>
          </w:p>
        </w:tc>
        <w:tc>
          <w:tcPr>
            <w:tcW w:w="2322" w:type="dxa"/>
            <w:vAlign w:val="center"/>
          </w:tcPr>
          <w:p>
            <w:pPr>
              <w:autoSpaceDE w:val="0"/>
              <w:autoSpaceDN w:val="0"/>
              <w:jc w:val="center"/>
              <w:rPr>
                <w:rFonts w:ascii="仿宋_GB2312" w:eastAsia="仿宋_GB2312"/>
                <w:snapToGrid w:val="0"/>
                <w:sz w:val="32"/>
                <w:szCs w:val="32"/>
              </w:rPr>
            </w:pPr>
            <w:r>
              <w:rPr>
                <w:rFonts w:ascii="仿宋_GB2312" w:eastAsia="仿宋_GB2312"/>
                <w:snapToGrid w:val="0"/>
                <w:sz w:val="32"/>
                <w:szCs w:val="32"/>
              </w:rPr>
              <w:t>签收日期</w:t>
            </w:r>
          </w:p>
        </w:tc>
        <w:tc>
          <w:tcPr>
            <w:tcW w:w="2322" w:type="dxa"/>
            <w:vAlign w:val="center"/>
          </w:tcPr>
          <w:p>
            <w:pPr>
              <w:autoSpaceDE w:val="0"/>
              <w:autoSpaceDN w:val="0"/>
              <w:jc w:val="center"/>
              <w:rPr>
                <w:rFonts w:ascii="仿宋_GB2312" w:eastAsia="仿宋_GB2312"/>
                <w:snapToGrid w:val="0"/>
                <w:sz w:val="32"/>
                <w:szCs w:val="32"/>
              </w:rPr>
            </w:pPr>
          </w:p>
        </w:tc>
      </w:tr>
    </w:tbl>
    <w:p>
      <w:pPr>
        <w:autoSpaceDE w:val="0"/>
        <w:autoSpaceDN w:val="0"/>
        <w:spacing w:line="360" w:lineRule="auto"/>
        <w:ind w:left="480" w:hanging="480" w:hangingChars="200"/>
        <w:jc w:val="left"/>
        <w:rPr>
          <w:rFonts w:ascii="仿宋_GB2312" w:eastAsia="仿宋_GB2312"/>
          <w:snapToGrid w:val="0"/>
          <w:sz w:val="24"/>
          <w:u w:val="dotted"/>
        </w:rPr>
      </w:pPr>
    </w:p>
    <w:sectPr>
      <w:pgSz w:w="11907" w:h="16840"/>
      <w:pgMar w:top="1247" w:right="1418" w:bottom="1021" w:left="1418" w:header="907" w:footer="907" w:gutter="0"/>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8"/>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NlZWMzODU1ODRlZDkzYjIwNjQ1ODI1NTBlYTY3ZGUifQ=="/>
  </w:docVars>
  <w:rsids>
    <w:rsidRoot w:val="00221D1D"/>
    <w:rsid w:val="000127B5"/>
    <w:rsid w:val="00022AD0"/>
    <w:rsid w:val="000310B0"/>
    <w:rsid w:val="00034C38"/>
    <w:rsid w:val="00041AD6"/>
    <w:rsid w:val="00053BAD"/>
    <w:rsid w:val="000641FF"/>
    <w:rsid w:val="00066A07"/>
    <w:rsid w:val="00095236"/>
    <w:rsid w:val="0009602E"/>
    <w:rsid w:val="00096237"/>
    <w:rsid w:val="0009785F"/>
    <w:rsid w:val="000A2AEB"/>
    <w:rsid w:val="000A351D"/>
    <w:rsid w:val="000A74D8"/>
    <w:rsid w:val="000B3114"/>
    <w:rsid w:val="000B5B72"/>
    <w:rsid w:val="000C2897"/>
    <w:rsid w:val="000C3209"/>
    <w:rsid w:val="000C4584"/>
    <w:rsid w:val="000D05BD"/>
    <w:rsid w:val="000D66E5"/>
    <w:rsid w:val="000D6A3B"/>
    <w:rsid w:val="000E2B46"/>
    <w:rsid w:val="000F7F12"/>
    <w:rsid w:val="00100C61"/>
    <w:rsid w:val="00102B09"/>
    <w:rsid w:val="00107DDD"/>
    <w:rsid w:val="001212EE"/>
    <w:rsid w:val="00135CAE"/>
    <w:rsid w:val="00141161"/>
    <w:rsid w:val="00143FB8"/>
    <w:rsid w:val="00150DF9"/>
    <w:rsid w:val="001608D1"/>
    <w:rsid w:val="00164A78"/>
    <w:rsid w:val="00185922"/>
    <w:rsid w:val="001946AA"/>
    <w:rsid w:val="001A6CE5"/>
    <w:rsid w:val="001A7E9D"/>
    <w:rsid w:val="001B0473"/>
    <w:rsid w:val="001B16EB"/>
    <w:rsid w:val="001C5FB5"/>
    <w:rsid w:val="001D0235"/>
    <w:rsid w:val="001D0864"/>
    <w:rsid w:val="001E0DCD"/>
    <w:rsid w:val="001E40FD"/>
    <w:rsid w:val="0020635C"/>
    <w:rsid w:val="00210004"/>
    <w:rsid w:val="0021474A"/>
    <w:rsid w:val="00217D7B"/>
    <w:rsid w:val="00221D1D"/>
    <w:rsid w:val="00223A25"/>
    <w:rsid w:val="00232D89"/>
    <w:rsid w:val="00240C69"/>
    <w:rsid w:val="00244225"/>
    <w:rsid w:val="00247EA2"/>
    <w:rsid w:val="002511D1"/>
    <w:rsid w:val="0025442F"/>
    <w:rsid w:val="00274155"/>
    <w:rsid w:val="00282833"/>
    <w:rsid w:val="00285391"/>
    <w:rsid w:val="002A615B"/>
    <w:rsid w:val="002B1010"/>
    <w:rsid w:val="002B27B1"/>
    <w:rsid w:val="002B53AC"/>
    <w:rsid w:val="002C6A6E"/>
    <w:rsid w:val="002D0C68"/>
    <w:rsid w:val="002D35BD"/>
    <w:rsid w:val="002D64B8"/>
    <w:rsid w:val="002F68D6"/>
    <w:rsid w:val="003161D8"/>
    <w:rsid w:val="00324C4A"/>
    <w:rsid w:val="0032605A"/>
    <w:rsid w:val="00341CE4"/>
    <w:rsid w:val="003541C5"/>
    <w:rsid w:val="00374428"/>
    <w:rsid w:val="003807FF"/>
    <w:rsid w:val="00397A05"/>
    <w:rsid w:val="003B0795"/>
    <w:rsid w:val="003B3F33"/>
    <w:rsid w:val="003B41C6"/>
    <w:rsid w:val="003B5A72"/>
    <w:rsid w:val="003D3819"/>
    <w:rsid w:val="003E719F"/>
    <w:rsid w:val="003F70D9"/>
    <w:rsid w:val="003F7DDD"/>
    <w:rsid w:val="00401287"/>
    <w:rsid w:val="004021FC"/>
    <w:rsid w:val="00403033"/>
    <w:rsid w:val="004047A7"/>
    <w:rsid w:val="00407A18"/>
    <w:rsid w:val="004274E1"/>
    <w:rsid w:val="00440CBC"/>
    <w:rsid w:val="00442632"/>
    <w:rsid w:val="00443281"/>
    <w:rsid w:val="00443E96"/>
    <w:rsid w:val="004610E1"/>
    <w:rsid w:val="00470896"/>
    <w:rsid w:val="00472122"/>
    <w:rsid w:val="00482A9A"/>
    <w:rsid w:val="00483232"/>
    <w:rsid w:val="004949F8"/>
    <w:rsid w:val="004A3F4D"/>
    <w:rsid w:val="004A5AF1"/>
    <w:rsid w:val="004A6F0B"/>
    <w:rsid w:val="004B2151"/>
    <w:rsid w:val="004B4285"/>
    <w:rsid w:val="004B5082"/>
    <w:rsid w:val="004C1BC6"/>
    <w:rsid w:val="004D497F"/>
    <w:rsid w:val="004D5C11"/>
    <w:rsid w:val="004E1B28"/>
    <w:rsid w:val="004E3BCD"/>
    <w:rsid w:val="004F75EC"/>
    <w:rsid w:val="005013EF"/>
    <w:rsid w:val="00501F95"/>
    <w:rsid w:val="00512B87"/>
    <w:rsid w:val="00514E89"/>
    <w:rsid w:val="00515267"/>
    <w:rsid w:val="00517EBD"/>
    <w:rsid w:val="00520260"/>
    <w:rsid w:val="00520317"/>
    <w:rsid w:val="00523821"/>
    <w:rsid w:val="00523CB3"/>
    <w:rsid w:val="00525B65"/>
    <w:rsid w:val="00532FBC"/>
    <w:rsid w:val="00534DC3"/>
    <w:rsid w:val="00542E79"/>
    <w:rsid w:val="00546D3A"/>
    <w:rsid w:val="00560F11"/>
    <w:rsid w:val="005741A2"/>
    <w:rsid w:val="00575F5D"/>
    <w:rsid w:val="00581518"/>
    <w:rsid w:val="00583920"/>
    <w:rsid w:val="0059160B"/>
    <w:rsid w:val="00594FFB"/>
    <w:rsid w:val="005A2A67"/>
    <w:rsid w:val="005A43FC"/>
    <w:rsid w:val="005C0861"/>
    <w:rsid w:val="005C3828"/>
    <w:rsid w:val="005C4A96"/>
    <w:rsid w:val="005D4CB2"/>
    <w:rsid w:val="005F1B31"/>
    <w:rsid w:val="005F4889"/>
    <w:rsid w:val="005F7B17"/>
    <w:rsid w:val="00607CB5"/>
    <w:rsid w:val="0061795C"/>
    <w:rsid w:val="00625E54"/>
    <w:rsid w:val="0063305E"/>
    <w:rsid w:val="006556C3"/>
    <w:rsid w:val="00657EA4"/>
    <w:rsid w:val="006610BB"/>
    <w:rsid w:val="00663A1E"/>
    <w:rsid w:val="00664D0A"/>
    <w:rsid w:val="006724EE"/>
    <w:rsid w:val="00674257"/>
    <w:rsid w:val="00691372"/>
    <w:rsid w:val="006A2FD8"/>
    <w:rsid w:val="006B390E"/>
    <w:rsid w:val="006B69C7"/>
    <w:rsid w:val="006B70CF"/>
    <w:rsid w:val="006C48F9"/>
    <w:rsid w:val="006C5D98"/>
    <w:rsid w:val="006D58C6"/>
    <w:rsid w:val="006D62F4"/>
    <w:rsid w:val="006E063B"/>
    <w:rsid w:val="006F32A0"/>
    <w:rsid w:val="006F5BAB"/>
    <w:rsid w:val="007050A0"/>
    <w:rsid w:val="0072012F"/>
    <w:rsid w:val="0072433F"/>
    <w:rsid w:val="00725C80"/>
    <w:rsid w:val="00727C93"/>
    <w:rsid w:val="00733A3A"/>
    <w:rsid w:val="00752B88"/>
    <w:rsid w:val="007548B0"/>
    <w:rsid w:val="00762084"/>
    <w:rsid w:val="007673BE"/>
    <w:rsid w:val="00767E77"/>
    <w:rsid w:val="0077299A"/>
    <w:rsid w:val="0079595D"/>
    <w:rsid w:val="007B5F14"/>
    <w:rsid w:val="007B6D08"/>
    <w:rsid w:val="007C357F"/>
    <w:rsid w:val="007C3F03"/>
    <w:rsid w:val="007C6F21"/>
    <w:rsid w:val="007E5F45"/>
    <w:rsid w:val="007E6C39"/>
    <w:rsid w:val="007F2776"/>
    <w:rsid w:val="007F2E72"/>
    <w:rsid w:val="007F6A2E"/>
    <w:rsid w:val="00804F3E"/>
    <w:rsid w:val="0082378E"/>
    <w:rsid w:val="00824BFA"/>
    <w:rsid w:val="00825186"/>
    <w:rsid w:val="0082576E"/>
    <w:rsid w:val="00834EB8"/>
    <w:rsid w:val="00845C2F"/>
    <w:rsid w:val="00847942"/>
    <w:rsid w:val="00851AA4"/>
    <w:rsid w:val="00857877"/>
    <w:rsid w:val="00877B4B"/>
    <w:rsid w:val="00887705"/>
    <w:rsid w:val="00891C0B"/>
    <w:rsid w:val="00893DCD"/>
    <w:rsid w:val="008A3D54"/>
    <w:rsid w:val="008A7D6C"/>
    <w:rsid w:val="008B026B"/>
    <w:rsid w:val="008D78E9"/>
    <w:rsid w:val="008E220B"/>
    <w:rsid w:val="008F5A1F"/>
    <w:rsid w:val="008F645F"/>
    <w:rsid w:val="008F67A4"/>
    <w:rsid w:val="00900FC8"/>
    <w:rsid w:val="00905227"/>
    <w:rsid w:val="00921849"/>
    <w:rsid w:val="00927690"/>
    <w:rsid w:val="00940D30"/>
    <w:rsid w:val="00942A60"/>
    <w:rsid w:val="00945E31"/>
    <w:rsid w:val="00952C29"/>
    <w:rsid w:val="0097427F"/>
    <w:rsid w:val="00975BBC"/>
    <w:rsid w:val="00986FFC"/>
    <w:rsid w:val="00987FBB"/>
    <w:rsid w:val="009946B6"/>
    <w:rsid w:val="00995DD4"/>
    <w:rsid w:val="009A13BA"/>
    <w:rsid w:val="009A5FD5"/>
    <w:rsid w:val="009A7D6C"/>
    <w:rsid w:val="009B7E34"/>
    <w:rsid w:val="009C0DDA"/>
    <w:rsid w:val="009E180B"/>
    <w:rsid w:val="009E204E"/>
    <w:rsid w:val="009E6BA7"/>
    <w:rsid w:val="00A03284"/>
    <w:rsid w:val="00A0750C"/>
    <w:rsid w:val="00A1079D"/>
    <w:rsid w:val="00A12D0C"/>
    <w:rsid w:val="00A21C2F"/>
    <w:rsid w:val="00A24FF9"/>
    <w:rsid w:val="00A250D0"/>
    <w:rsid w:val="00A2798B"/>
    <w:rsid w:val="00A27C1D"/>
    <w:rsid w:val="00A33229"/>
    <w:rsid w:val="00A40C1E"/>
    <w:rsid w:val="00A47DB8"/>
    <w:rsid w:val="00A67876"/>
    <w:rsid w:val="00A778AF"/>
    <w:rsid w:val="00A911C7"/>
    <w:rsid w:val="00AA128D"/>
    <w:rsid w:val="00AA1F7E"/>
    <w:rsid w:val="00AB018A"/>
    <w:rsid w:val="00AB0298"/>
    <w:rsid w:val="00AC3C3D"/>
    <w:rsid w:val="00AD3F14"/>
    <w:rsid w:val="00AD51D2"/>
    <w:rsid w:val="00AF0870"/>
    <w:rsid w:val="00AF34F3"/>
    <w:rsid w:val="00B0539F"/>
    <w:rsid w:val="00B1213D"/>
    <w:rsid w:val="00B122D1"/>
    <w:rsid w:val="00B42E37"/>
    <w:rsid w:val="00B46C7D"/>
    <w:rsid w:val="00B53ABC"/>
    <w:rsid w:val="00B71BD5"/>
    <w:rsid w:val="00B81B0A"/>
    <w:rsid w:val="00B82DA0"/>
    <w:rsid w:val="00B96EE2"/>
    <w:rsid w:val="00BA46C4"/>
    <w:rsid w:val="00BC6014"/>
    <w:rsid w:val="00BD10FA"/>
    <w:rsid w:val="00BD2EB9"/>
    <w:rsid w:val="00BD3935"/>
    <w:rsid w:val="00BE267C"/>
    <w:rsid w:val="00BE6491"/>
    <w:rsid w:val="00BE6A65"/>
    <w:rsid w:val="00BF4FFC"/>
    <w:rsid w:val="00BF5576"/>
    <w:rsid w:val="00C02F8A"/>
    <w:rsid w:val="00C1369B"/>
    <w:rsid w:val="00C32457"/>
    <w:rsid w:val="00C35606"/>
    <w:rsid w:val="00C424D9"/>
    <w:rsid w:val="00C42989"/>
    <w:rsid w:val="00C43BA6"/>
    <w:rsid w:val="00C4742A"/>
    <w:rsid w:val="00C63261"/>
    <w:rsid w:val="00C6330A"/>
    <w:rsid w:val="00C80593"/>
    <w:rsid w:val="00C83FCC"/>
    <w:rsid w:val="00C84F14"/>
    <w:rsid w:val="00C917B9"/>
    <w:rsid w:val="00C9305B"/>
    <w:rsid w:val="00CA6879"/>
    <w:rsid w:val="00CA705D"/>
    <w:rsid w:val="00CA78C9"/>
    <w:rsid w:val="00CB20E4"/>
    <w:rsid w:val="00CB2616"/>
    <w:rsid w:val="00CC2FE4"/>
    <w:rsid w:val="00CC38ED"/>
    <w:rsid w:val="00CD3BC3"/>
    <w:rsid w:val="00CE1E25"/>
    <w:rsid w:val="00CE355B"/>
    <w:rsid w:val="00CF12E7"/>
    <w:rsid w:val="00D04B26"/>
    <w:rsid w:val="00D05B23"/>
    <w:rsid w:val="00D0600C"/>
    <w:rsid w:val="00D101A7"/>
    <w:rsid w:val="00D16944"/>
    <w:rsid w:val="00D16950"/>
    <w:rsid w:val="00D16B3D"/>
    <w:rsid w:val="00D212B7"/>
    <w:rsid w:val="00D3022D"/>
    <w:rsid w:val="00D311A8"/>
    <w:rsid w:val="00D37561"/>
    <w:rsid w:val="00D80BC1"/>
    <w:rsid w:val="00D87C9F"/>
    <w:rsid w:val="00DB098A"/>
    <w:rsid w:val="00DB210E"/>
    <w:rsid w:val="00DE3F80"/>
    <w:rsid w:val="00DF03BF"/>
    <w:rsid w:val="00DF7CE3"/>
    <w:rsid w:val="00E0585A"/>
    <w:rsid w:val="00E1009B"/>
    <w:rsid w:val="00E11740"/>
    <w:rsid w:val="00E131D8"/>
    <w:rsid w:val="00E21047"/>
    <w:rsid w:val="00E34B84"/>
    <w:rsid w:val="00E4453E"/>
    <w:rsid w:val="00E4488F"/>
    <w:rsid w:val="00E479C8"/>
    <w:rsid w:val="00E54109"/>
    <w:rsid w:val="00E5487A"/>
    <w:rsid w:val="00E663D2"/>
    <w:rsid w:val="00E667B2"/>
    <w:rsid w:val="00E66D89"/>
    <w:rsid w:val="00E7411D"/>
    <w:rsid w:val="00E748ED"/>
    <w:rsid w:val="00E8527D"/>
    <w:rsid w:val="00EA1272"/>
    <w:rsid w:val="00EA57DC"/>
    <w:rsid w:val="00EB0481"/>
    <w:rsid w:val="00EB4237"/>
    <w:rsid w:val="00EB7368"/>
    <w:rsid w:val="00EC0F7F"/>
    <w:rsid w:val="00ED3A91"/>
    <w:rsid w:val="00F11582"/>
    <w:rsid w:val="00F139BD"/>
    <w:rsid w:val="00F14833"/>
    <w:rsid w:val="00F27960"/>
    <w:rsid w:val="00F3468C"/>
    <w:rsid w:val="00F40F2F"/>
    <w:rsid w:val="00F411FF"/>
    <w:rsid w:val="00F41C5E"/>
    <w:rsid w:val="00F45859"/>
    <w:rsid w:val="00F51F96"/>
    <w:rsid w:val="00F52700"/>
    <w:rsid w:val="00F528AD"/>
    <w:rsid w:val="00F535A6"/>
    <w:rsid w:val="00F6333D"/>
    <w:rsid w:val="00F64047"/>
    <w:rsid w:val="00F64C43"/>
    <w:rsid w:val="00F67C9A"/>
    <w:rsid w:val="00F731F9"/>
    <w:rsid w:val="00F7378B"/>
    <w:rsid w:val="00F77849"/>
    <w:rsid w:val="00F7798F"/>
    <w:rsid w:val="00F806EF"/>
    <w:rsid w:val="00FA17E7"/>
    <w:rsid w:val="00FA3794"/>
    <w:rsid w:val="00FA37B6"/>
    <w:rsid w:val="00FA4E0F"/>
    <w:rsid w:val="00FB46E0"/>
    <w:rsid w:val="00FD212D"/>
    <w:rsid w:val="00FD287A"/>
    <w:rsid w:val="00FF25FC"/>
    <w:rsid w:val="00FF752F"/>
    <w:rsid w:val="011D434A"/>
    <w:rsid w:val="0A755759"/>
    <w:rsid w:val="0E9D0011"/>
    <w:rsid w:val="12113DDB"/>
    <w:rsid w:val="14381FD6"/>
    <w:rsid w:val="1D492BEF"/>
    <w:rsid w:val="2599217D"/>
    <w:rsid w:val="3E1403BD"/>
    <w:rsid w:val="69EB16F1"/>
    <w:rsid w:val="6FC22E8C"/>
    <w:rsid w:val="7E37232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unhideWhenUsed/>
    <w:qFormat/>
    <w:uiPriority w:val="1"/>
  </w:style>
  <w:style w:type="table" w:default="1" w:styleId="7">
    <w:name w:val="Normal Table"/>
    <w:unhideWhenUsed/>
    <w:qFormat/>
    <w:uiPriority w:val="99"/>
    <w:tblPr>
      <w:tblCellMar>
        <w:top w:w="0" w:type="dxa"/>
        <w:left w:w="108" w:type="dxa"/>
        <w:bottom w:w="0" w:type="dxa"/>
        <w:right w:w="108" w:type="dxa"/>
      </w:tblCellMar>
    </w:tblPr>
  </w:style>
  <w:style w:type="paragraph" w:styleId="2">
    <w:name w:val="Body Text"/>
    <w:basedOn w:val="1"/>
    <w:link w:val="14"/>
    <w:qFormat/>
    <w:uiPriority w:val="0"/>
    <w:pPr>
      <w:jc w:val="center"/>
    </w:pPr>
  </w:style>
  <w:style w:type="paragraph" w:styleId="3">
    <w:name w:val="Balloon Text"/>
    <w:basedOn w:val="1"/>
    <w:link w:val="16"/>
    <w:unhideWhenUsed/>
    <w:qFormat/>
    <w:uiPriority w:val="99"/>
    <w:rPr>
      <w:sz w:val="18"/>
      <w:szCs w:val="18"/>
    </w:rPr>
  </w:style>
  <w:style w:type="paragraph" w:styleId="4">
    <w:name w:val="footer"/>
    <w:basedOn w:val="1"/>
    <w:link w:val="13"/>
    <w:unhideWhenUsed/>
    <w:qFormat/>
    <w:uiPriority w:val="99"/>
    <w:pPr>
      <w:tabs>
        <w:tab w:val="center" w:pos="4153"/>
        <w:tab w:val="right" w:pos="8306"/>
      </w:tabs>
      <w:snapToGrid w:val="0"/>
      <w:jc w:val="left"/>
    </w:pPr>
    <w:rPr>
      <w:sz w:val="18"/>
      <w:szCs w:val="18"/>
    </w:rPr>
  </w:style>
  <w:style w:type="paragraph" w:styleId="5">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table" w:styleId="8">
    <w:name w:val="Table Grid"/>
    <w:basedOn w:val="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0">
    <w:name w:val="Strong"/>
    <w:basedOn w:val="9"/>
    <w:qFormat/>
    <w:uiPriority w:val="22"/>
    <w:rPr>
      <w:b/>
      <w:bCs/>
    </w:rPr>
  </w:style>
  <w:style w:type="character" w:styleId="11">
    <w:name w:val="Hyperlink"/>
    <w:basedOn w:val="9"/>
    <w:unhideWhenUsed/>
    <w:qFormat/>
    <w:uiPriority w:val="99"/>
    <w:rPr>
      <w:color w:val="333333"/>
      <w:sz w:val="18"/>
      <w:szCs w:val="18"/>
      <w:u w:val="none"/>
    </w:rPr>
  </w:style>
  <w:style w:type="character" w:customStyle="1" w:styleId="12">
    <w:name w:val="页眉 Char"/>
    <w:basedOn w:val="9"/>
    <w:link w:val="5"/>
    <w:qFormat/>
    <w:uiPriority w:val="99"/>
    <w:rPr>
      <w:rFonts w:ascii="Times New Roman" w:hAnsi="Times New Roman"/>
      <w:kern w:val="2"/>
      <w:sz w:val="18"/>
      <w:szCs w:val="18"/>
    </w:rPr>
  </w:style>
  <w:style w:type="character" w:customStyle="1" w:styleId="13">
    <w:name w:val="页脚 Char"/>
    <w:basedOn w:val="9"/>
    <w:link w:val="4"/>
    <w:qFormat/>
    <w:uiPriority w:val="99"/>
    <w:rPr>
      <w:rFonts w:ascii="Times New Roman" w:hAnsi="Times New Roman"/>
      <w:kern w:val="2"/>
      <w:sz w:val="18"/>
      <w:szCs w:val="18"/>
    </w:rPr>
  </w:style>
  <w:style w:type="character" w:customStyle="1" w:styleId="14">
    <w:name w:val="正文文本 Char"/>
    <w:basedOn w:val="9"/>
    <w:link w:val="2"/>
    <w:qFormat/>
    <w:uiPriority w:val="0"/>
    <w:rPr>
      <w:rFonts w:ascii="Times New Roman" w:hAnsi="Times New Roman"/>
      <w:kern w:val="2"/>
      <w:sz w:val="21"/>
      <w:szCs w:val="24"/>
    </w:rPr>
  </w:style>
  <w:style w:type="character" w:customStyle="1" w:styleId="15">
    <w:name w:val="Subtle Emphasis"/>
    <w:basedOn w:val="9"/>
    <w:qFormat/>
    <w:uiPriority w:val="19"/>
    <w:rPr>
      <w:i/>
      <w:iCs/>
      <w:color w:val="808080"/>
    </w:rPr>
  </w:style>
  <w:style w:type="character" w:customStyle="1" w:styleId="16">
    <w:name w:val="批注框文本 Char"/>
    <w:basedOn w:val="9"/>
    <w:link w:val="3"/>
    <w:semiHidden/>
    <w:qFormat/>
    <w:uiPriority w:val="99"/>
    <w:rPr>
      <w:rFonts w:ascii="Times New Roman" w:hAnsi="Times New Roman"/>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18CA63-8137-40B2-B5AA-B4FFAFF46F0C}">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1</Pages>
  <Words>135</Words>
  <Characters>771</Characters>
  <Lines>6</Lines>
  <Paragraphs>1</Paragraphs>
  <TotalTime>1</TotalTime>
  <ScaleCrop>false</ScaleCrop>
  <LinksUpToDate>false</LinksUpToDate>
  <CharactersWithSpaces>905</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2021-05-31T07:57:00Z</dcterms:created>
  <dc:creator>nicknini</dc:creator>
  <cp:lastModifiedBy>Administrator</cp:lastModifiedBy>
  <cp:lastPrinted>2023-07-26T07:07:00Z</cp:lastPrinted>
  <dcterms:modified xsi:type="dcterms:W3CDTF">2023-07-27T08:00:32Z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FA77A3DDB7404F47A3938A82E56F39F1_12</vt:lpwstr>
  </property>
</Properties>
</file>