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88" w:afterAutospacing="0" w:line="360" w:lineRule="auto"/>
        <w:ind w:left="0" w:right="0" w:rightChars="0" w:firstLine="0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sz w:val="30"/>
          <w:szCs w:val="30"/>
          <w:shd w:val="clear" w:color="auto" w:fill="FFFFFF"/>
        </w:rPr>
        <w:t>关于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sz w:val="30"/>
          <w:szCs w:val="30"/>
          <w:shd w:val="clear" w:color="auto" w:fill="FFFFFF"/>
          <w:lang w:eastAsia="zh-CN"/>
        </w:rPr>
        <w:t>对上海林浙建筑装饰工程有限公司送达上海市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sz w:val="30"/>
          <w:szCs w:val="30"/>
          <w:shd w:val="clear" w:color="auto" w:fill="FFFFFF"/>
        </w:rPr>
        <w:t>建设工程企业资质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sz w:val="30"/>
          <w:szCs w:val="30"/>
          <w:shd w:val="clear" w:color="auto" w:fill="FFFFFF"/>
          <w:lang w:eastAsia="zh-CN"/>
        </w:rPr>
        <w:t>动态核查整改通知书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sz w:val="30"/>
          <w:szCs w:val="30"/>
          <w:shd w:val="clear" w:color="auto" w:fill="FFFFFF"/>
        </w:rPr>
        <w:t>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right="0" w:rightChars="0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221" w:afterAutospacing="0" w:line="360" w:lineRule="auto"/>
        <w:ind w:left="0" w:right="0" w:rightChars="0" w:firstLine="420"/>
        <w:textAlignment w:val="auto"/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</w:rPr>
        <w:t>按照《建筑业企业资质管理规定》（建设部第22号令）、《上海市建设工程企业资质动态监督管理办法》(沪建建管〔2016〕411号)有关规定，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eastAsia="zh-CN"/>
        </w:rPr>
        <w:t>上海市奉贤区建设和管理委员会</w:t>
      </w:r>
      <w:r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eastAsia="zh-CN"/>
        </w:rPr>
        <w:t>对上海林浙建筑装饰工程有限公司资质进行了动态核查，经查，该企业资质不再符合相应标准条件且未能收到动态核查整改通知书。依据相关规定，现对动态核查整改通知书进行公告送达。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221" w:afterAutospacing="0" w:line="360" w:lineRule="auto"/>
        <w:ind w:left="0" w:right="0" w:rightChars="0" w:firstLine="420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eastAsia="zh-CN"/>
        </w:rPr>
        <w:t>公告自发布之日起满30日视为送达。整改期为自送达之日起90个工作日，逾期不整改或整改后仍不满足资质标准条件的，将按照有关规定撤回资质。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221" w:afterAutospacing="0" w:line="360" w:lineRule="auto"/>
        <w:ind w:left="0" w:right="0" w:rightChars="0" w:firstLine="420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adjustRightInd/>
        <w:snapToGrid/>
        <w:spacing w:before="0" w:beforeAutospacing="0" w:after="221" w:afterAutospacing="0" w:line="360" w:lineRule="auto"/>
        <w:ind w:left="0" w:right="0" w:rightChars="0" w:firstLine="420"/>
        <w:jc w:val="right"/>
        <w:textAlignment w:val="auto"/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eastAsia="zh-CN"/>
        </w:rPr>
        <w:t>上海市奉贤区建设和管理委员会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221" w:afterAutospacing="0" w:line="360" w:lineRule="auto"/>
        <w:ind w:left="0" w:right="0" w:rightChars="0" w:firstLine="42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221" w:afterAutospacing="0" w:line="360" w:lineRule="auto"/>
        <w:ind w:left="0" w:right="0" w:rightChars="0" w:firstLine="420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7009D"/>
    <w:rsid w:val="06384091"/>
    <w:rsid w:val="0C3C0298"/>
    <w:rsid w:val="4357009D"/>
    <w:rsid w:val="50A04A70"/>
    <w:rsid w:val="54316E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2024-03-11T05:59:00Z</dcterms:created>
  <dc:creator>Administrator</dc:creator>
  <cp:lastModifiedBy>Administrator</cp:lastModifiedBy>
  <dcterms:modified xsi:type="dcterms:W3CDTF">2024-03-18T05:59:54Z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