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“我的地图会说话”</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2"/>
          <w:szCs w:val="32"/>
        </w:rPr>
      </w:pPr>
      <w:r>
        <w:rPr>
          <w:rFonts w:hint="eastAsia" w:ascii="黑体" w:hAnsi="黑体" w:eastAsia="黑体" w:cs="黑体"/>
          <w:sz w:val="32"/>
          <w:szCs w:val="32"/>
        </w:rPr>
        <w:t>——绘制简易地图</w:t>
      </w:r>
    </w:p>
    <w:p>
      <w:pPr>
        <w:keepNext w:val="0"/>
        <w:keepLines w:val="0"/>
        <w:pageBreakBefore w:val="0"/>
        <w:kinsoku/>
        <w:wordWrap/>
        <w:overflowPunct/>
        <w:topLinePunct w:val="0"/>
        <w:autoSpaceDE/>
        <w:autoSpaceDN/>
        <w:bidi w:val="0"/>
        <w:adjustRightInd/>
        <w:snapToGrid/>
        <w:spacing w:line="360" w:lineRule="auto"/>
        <w:ind w:firstLine="560" w:firstLineChars="200"/>
        <w:jc w:val="right"/>
        <w:textAlignment w:val="auto"/>
        <w:rPr>
          <w:rFonts w:ascii="楷体" w:hAnsi="楷体" w:eastAsia="楷体" w:cs="楷体"/>
          <w:sz w:val="24"/>
        </w:rPr>
      </w:pPr>
      <w:r>
        <w:rPr>
          <w:rFonts w:hint="eastAsia" w:ascii="宋体" w:hAnsi="宋体" w:eastAsia="宋体" w:cs="宋体"/>
          <w:sz w:val="28"/>
          <w:szCs w:val="28"/>
        </w:rPr>
        <w:t>上海市奉贤区平安学校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邹好冬</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地图会“说话”，它的话很具体准确，很鲜活生动，也很形象丰富，无穷无尽。读懂地图才能绘制地图；绘制地图的过程更能进一步读懂地图。读图与绘图，相辅相成。读不懂地图或对地图一知半解的人，他对地理的知识是无源之水、无本之木，可以说，是地理“文盲”。基于此，我开设了“绘制简易地图”拓展课，取得了一定的成果。课程既激发了学生学习地理的情趣，提高了自主学习的能力，又发展了空间思维和创想能力。</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cstheme="minorEastAsia"/>
          <w:sz w:val="24"/>
        </w:rPr>
      </w:pP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cstheme="minorEastAsia"/>
          <w:sz w:val="24"/>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所任职的上海市奉贤区平安学校是一所远郊的九年一贯制农村学校。很多孩子的父母是外来打工者，工作较忙，文化素养也不高，没有时间与能力管教孩子。许多同学学习自觉性不高，学习习惯与能力也比较差。经过六年级一个学期的地理学习，我发现有一部分同学虽然对地理很感兴趣，但总是不跟老师在同一个“频道”上，一提到某国的风土人情或某种地理现象就滔滔不绝；而一旦读图、析图就会产生这样那样的低级错误而无精打采。地图是学习地理科学的基础，读不懂地图就好比是地理文盲，对交通、地形、物产等地理知识一知半解，好比无根之木、无源之水。针对这一问题，我开设了“绘制简易地图”拓展课。让部分对地理有兴趣，而读图能力差的同学，自愿报名参与九课时的学习：</w:t>
      </w:r>
    </w:p>
    <w:tbl>
      <w:tblPr>
        <w:tblStyle w:val="8"/>
        <w:tblW w:w="6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7"/>
        <w:gridCol w:w="3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7" w:type="dxa"/>
            <w:vAlign w:val="center"/>
          </w:tcPr>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课时1：地图的语言</w:t>
            </w:r>
          </w:p>
        </w:tc>
        <w:tc>
          <w:tcPr>
            <w:tcW w:w="3122" w:type="dxa"/>
            <w:vAlign w:val="center"/>
          </w:tcPr>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课时6：地球的运动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7" w:type="dxa"/>
            <w:vAlign w:val="center"/>
          </w:tcPr>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课时2：三笔画世界</w:t>
            </w:r>
          </w:p>
        </w:tc>
        <w:tc>
          <w:tcPr>
            <w:tcW w:w="3122" w:type="dxa"/>
            <w:vAlign w:val="center"/>
          </w:tcPr>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课时7：世界轮廓图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7" w:type="dxa"/>
            <w:vAlign w:val="center"/>
          </w:tcPr>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课时3：澳大利亚</w:t>
            </w:r>
          </w:p>
        </w:tc>
        <w:tc>
          <w:tcPr>
            <w:tcW w:w="3122" w:type="dxa"/>
            <w:vAlign w:val="center"/>
          </w:tcPr>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课时8：分层设色地形图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7" w:type="dxa"/>
            <w:vAlign w:val="center"/>
          </w:tcPr>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课时4：德国</w:t>
            </w:r>
          </w:p>
        </w:tc>
        <w:tc>
          <w:tcPr>
            <w:tcW w:w="3122" w:type="dxa"/>
            <w:vAlign w:val="center"/>
          </w:tcPr>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课时9：分层设色图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7" w:type="dxa"/>
            <w:vAlign w:val="center"/>
          </w:tcPr>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课时5：地球概述</w:t>
            </w:r>
          </w:p>
        </w:tc>
        <w:tc>
          <w:tcPr>
            <w:tcW w:w="3122" w:type="dxa"/>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rPr>
              <w:t>自主学习：中国轮廓图</w:t>
            </w:r>
          </w:p>
        </w:tc>
      </w:tr>
    </w:tbl>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课程圆满完成之后，学生不仅能读懂地图，而且能绘制简易地图。孩子们捧着自己厚厚的一打作品，满怀喜悦之情。有些地图色彩鲜艳、花花绿绿的，煞是好看，那是“分层设色地图”、“地球大小及内部圈层分布图”和“地球自转及五带分布图”；有些地图虽然色彩不多，但一目了然，这是“世界轮廓图”、“地球公转图”与“中国轮廓图”；至于“三笔画世界”、“澳大利亚”、“德国”这些地图，虽然看上去不够美观，也没那么准确，但有模有样。真是精彩世界，手中纷呈，“我的地图会说话”！表达了孩子们的欣喜与自豪。下面来谈谈我是如何上好这样的拓展课的：</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numPr>
          <w:ilvl w:val="0"/>
          <w:numId w:val="1"/>
        </w:numPr>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教学导向唤发兴趣</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兴趣是最好的老师”，无论是什么样的教学形式，都应该激发学生的学习兴趣，如果对于知识一味地苦读死记，只会事倍功半。老师如何调动学生的学习兴趣，并保持这种课堂生命力，是一门大学问。虽然绘制简易地图及涂色这样的学习方式已经比常规课堂有特点、有趣味，但光凭此就想让学生“如永动机一般地汲取知识”显然不可能，我为此也动足了脑筋。</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1.幽默诙谐的语言，调动兴趣</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在“地图的语言”这节课上有这样一个提问：“你认为地图会说话吗”，孩子们的答案五花八门，有的说“地图能告诉我们很多信息”的，也有的不屑一顾“地图怎么会说话”，大家议论纷纷，积极性一下子被调动起来了。这时老师给孩子们下发提前准备好的两张地图，这两张地图均为只有轮廓的中国地图，但是其中一张的比例尺缩小了一倍，且沿顺时针旋转了45°。这下，孩子们一眼就看出了两张地图的异同，它们的比例尺和方向不一样。我说：“地图的确会说话，它的话很具体准确，很鲜活生动，很形象丰富，无穷无尽。”通过这样幽默、诙谐的语言，吊起他们的胃口，再辅以样例，孩子们对地图的语言有了足够的认同。</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2.具体形象的情境，激发兴趣</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进入到“国家”这个主题学习的时候，我抓住孩子们的心理特点（</w:t>
      </w:r>
      <w:r>
        <w:rPr>
          <w:rFonts w:hint="eastAsia" w:ascii="宋体" w:hAnsi="宋体" w:eastAsia="宋体" w:cs="宋体"/>
          <w:color w:val="000000" w:themeColor="text1"/>
          <w:sz w:val="28"/>
          <w:szCs w:val="28"/>
        </w:rPr>
        <w:t>这个年龄段的孩子对这些既熟悉又陌生的国家大多保有一份好奇心），</w:t>
      </w:r>
      <w:r>
        <w:rPr>
          <w:rFonts w:hint="eastAsia" w:ascii="宋体" w:hAnsi="宋体" w:eastAsia="宋体" w:cs="宋体"/>
          <w:sz w:val="28"/>
          <w:szCs w:val="28"/>
        </w:rPr>
        <w:t>安排了两个课时，分别是农业大国澳大利亚与工业强国德国。针对这样两个特色鲜明的国家，我也布置了不同方向的探究主题：“请你设计一条包含三个站点在内的澳大利亚旅游路线”和“二战时德国使用闪电战的战略最先攻占了哪个国家”。这样的学习情境的设置，为绘制简易地图激发了情趣。孩子们热情高涨，都跃跃欲试，认为自己的旅游路线更好、更独一无二；自己找出的国家肯定是正确的。经过老师的引导，很容易把一个国家大多数的知识点都串联其中，把对国家的理解都呈现在了自己创造的一幅小小地图之中。</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再如，地球的运动是学生相对不太容易理解、兴趣欠缺的主题，我就把这种比较枯燥的课题，转化为生活中的某些情景。我这样设问：“暑假期间，我们这里气候比较炎热，这是为什么呢？”把抽象概念转化为现实生活中的现象。学生七嘴八舌，各有各的观点，各有各的理由。“那么事实如何呢？就让老师带你们一起到太空中去看看”。再经过观看视频、模型演示、绘制示意图这样的流程，孩子们明白了：因为太阳直射点的回归运动，南北半球的季节是相反的。地理源自生活，在生活现象、生活问题情境的框架下，学生也更乐于主动吸收知识，绘制比较正确的地图。</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3.搭建问题脚手架，增强兴趣</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地球概述”课时中，以问题链的形式不断引发孩子们的思考，保持学习的动机。先以“我们生活的地球是一个正球体吗”引发孩子们的议论，再查找数据分析“极半径与赤半径的长度有何区别”，明确一些地理专业术语的含义，最后观察绘制的地球简图分析“极半径与赤半径长度的差异会对地球的形状产生怎样的影响”。最后，得出结论：地球原来是一个赤道略鼓、两极稍扁的不规则球体。通过搭建问题脚手架，引导、启发孩子们思考地理问题，增强学习和绘图的兴趣。</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numPr>
          <w:ilvl w:val="0"/>
          <w:numId w:val="1"/>
        </w:numPr>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教学内容层层递进</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1.知识层次由浅入深</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习绘制简易地图的过程不是一蹴而就的，需要有较长时间的学习、训练。我给学生们制定的整体学习过程是：地图的语言→国家→地球运动→陆地与海洋。“地图的语言”是本系列的第一个主题，以复习巩固为主，夯实学生读图的基础能力；“国家”部分的目的是能够绘制出某国的轮廓图，并在图中增添图例和注记；“地球运动”为学生们构建起基础的空间思维能力；“陆地与海洋”让学生获得绘制简易地图与分层设色地图的技能。这是一个层层递进的过程，从浅显易懂到复杂难解，这也符合学生的认知规律。</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2.绘图过程由易到难</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8"/>
        </w:rPr>
      </w:pPr>
      <w:r>
        <w:rPr>
          <w:rFonts w:hint="eastAsia" w:ascii="宋体" w:hAnsi="宋体" w:eastAsia="宋体" w:cs="宋体"/>
          <w:sz w:val="28"/>
          <w:szCs w:val="28"/>
        </w:rPr>
        <w:t>再来看看与世界整体地图相关的三节课：“三笔画世界”、“世界轮廓图”、“分层设色地形图”。从“三笔画世界”到“世界轮廓图”，是以三角形代替大洲到需要画出比较细致的轮廓，需要耗费更多时间，但作品看上去更加精确，与此同时也展示出了更多的地图细节，对地图进行更多的操作，如河流、海湾、海峡等地理事物。再从“世界轮廓图”到“分层设色地形图”，我们对于地形区不必像以前一样用注记标识了，而是可以为它绘制等高线、涂上色彩，更形象地表现海拔高度与地表的高低起伏，整幅地图的专业性、美观性都大大增强。由易到难的过程，不仅逐渐提升了学生们的绘图能力，还在于探求更接近真实的地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3.作品要求由低到高</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8"/>
        </w:rPr>
      </w:pPr>
      <w:r>
        <w:rPr>
          <w:rFonts w:hint="eastAsia" w:ascii="宋体" w:hAnsi="宋体" w:eastAsia="宋体" w:cs="宋体"/>
          <w:sz w:val="28"/>
          <w:szCs w:val="28"/>
        </w:rPr>
        <w:t>上第二节课时我在</w:t>
      </w:r>
      <w:r>
        <w:rPr>
          <w:rFonts w:hint="eastAsia" w:ascii="宋体" w:hAnsi="宋体" w:eastAsia="宋体" w:cs="宋体"/>
          <w:color w:val="000000" w:themeColor="text1"/>
          <w:sz w:val="28"/>
          <w:szCs w:val="28"/>
        </w:rPr>
        <w:t>课前让学生观看了一个短视频“我来画世界”，视频只有短短的17秒，“世界”只有寥寥三笔。“你觉得图中的‘三笔画世界’简单吗？”“这太简单了！我立马就能画出来。”这是孩子们的第一反应。经过一两次的尝试，果然不少同学在本子上画得有模有样了。我选取了其中一张地图，“他的七大洲虽然大致位置都画对了，但我们还可以画得更精确，大家一起帮他想想，我们还能怎么完善呢？”之后，我引导学生们先画出七大洲与赤道、南北回归线、南北极圈这五条纬线之间的相对位置，再依据七大洲、四大洋的面积排序继续完善作品（见图1）。经过对自己绘图的不断修改，同学们恍然大悟，原来这不是随手涂鸦，而是有严格要求的。再一看这17秒的“三笔画世界”真是一点也不简单，随手画得如此标准太难了！在老师一点点增加绘图难度的同时，学生不断改进地图，把经纬网、大洲与大洋等越来越多的知识点融入进来，这样的模式大大降低了学习的难度，不会让学生一上来就接收过多的知识点以至于难以下手。</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8"/>
          <w:szCs w:val="28"/>
        </w:rPr>
      </w:pPr>
      <w:r>
        <w:rPr>
          <w:rFonts w:hint="eastAsia" w:ascii="宋体" w:hAnsi="宋体" w:eastAsia="宋体" w:cs="宋体"/>
          <w:color w:val="000000" w:themeColor="text1"/>
          <w:sz w:val="28"/>
          <w:szCs w:val="28"/>
        </w:rPr>
        <w:pict>
          <v:shape id="文本框 2" o:spid="_x0000_s1031" o:spt="202" type="#_x0000_t202" style="position:absolute;left:0pt;margin-left:157.3pt;margin-top:190.25pt;height:22.8pt;width:140.15pt;z-index:251660288;mso-width-relative:page;mso-height-relative:page;" stroked="f" coordsize="21600,21600" o:gfxdata="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aE/Fb4A&#10;AADcAAAADwAAAAAAAAABACAAAAAiAAAAZHJzL2Rvd25yZXYueG1sUEsBAhQAFAAAAAgAh07iQDMv&#10;BZ47AAAAOQAAABAAAAAAAAAAAQAgAAAADQEAAGRycy9zaGFwZXhtbC54bWxQSwUGAAAAAAYABgBb&#10;AQAAtwMAAAAA&#10;">
            <v:path/>
            <v:fill focussize="0,0"/>
            <v:stroke on="f" joinstyle="miter"/>
            <v:imagedata o:title=""/>
            <o:lock v:ext="edit"/>
            <v:textbox style="mso-fit-shape-to-text:t;">
              <w:txbxContent>
                <w:p>
                  <w:pPr>
                    <w:jc w:val="center"/>
                    <w:rPr>
                      <w:rFonts w:hint="eastAsia" w:ascii="宋体" w:hAnsi="宋体" w:eastAsia="宋体" w:cs="宋体"/>
                      <w:sz w:val="28"/>
                      <w:szCs w:val="36"/>
                    </w:rPr>
                  </w:pPr>
                  <w:r>
                    <w:rPr>
                      <w:rFonts w:hint="eastAsia" w:ascii="宋体" w:hAnsi="宋体" w:eastAsia="宋体" w:cs="宋体"/>
                      <w:sz w:val="28"/>
                      <w:szCs w:val="36"/>
                    </w:rPr>
                    <w:t>图1 三笔画世界</w:t>
                  </w:r>
                </w:p>
              </w:txbxContent>
            </v:textbox>
          </v:shape>
        </w:pict>
      </w:r>
      <w:r>
        <w:rPr>
          <w:rFonts w:hint="eastAsia" w:ascii="宋体" w:hAnsi="宋体" w:eastAsia="宋体" w:cs="宋体"/>
          <w:sz w:val="28"/>
          <w:szCs w:val="28"/>
        </w:rPr>
        <w:drawing>
          <wp:anchor distT="0" distB="0" distL="114300" distR="114300" simplePos="0" relativeHeight="251661312" behindDoc="0" locked="0" layoutInCell="1" allowOverlap="1">
            <wp:simplePos x="0" y="0"/>
            <wp:positionH relativeFrom="column">
              <wp:posOffset>1325880</wp:posOffset>
            </wp:positionH>
            <wp:positionV relativeFrom="paragraph">
              <wp:posOffset>59690</wp:posOffset>
            </wp:positionV>
            <wp:extent cx="2983230" cy="2397125"/>
            <wp:effectExtent l="0" t="0" r="1270" b="3175"/>
            <wp:wrapTopAndBottom/>
            <wp:docPr id="2" name="图片 1" descr="C:\Users\Administrator\Desktop\图片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图片4.png"/>
                    <pic:cNvPicPr>
                      <a:picLocks noChangeAspect="1" noChangeArrowheads="1"/>
                    </pic:cNvPicPr>
                  </pic:nvPicPr>
                  <pic:blipFill>
                    <a:blip r:embed="rId7" cstate="print"/>
                    <a:srcRect/>
                    <a:stretch>
                      <a:fillRect/>
                    </a:stretch>
                  </pic:blipFill>
                  <pic:spPr>
                    <a:xfrm>
                      <a:off x="0" y="0"/>
                      <a:ext cx="2983230" cy="2397125"/>
                    </a:xfrm>
                    <a:prstGeom prst="rect">
                      <a:avLst/>
                    </a:prstGeom>
                    <a:noFill/>
                    <a:ln w="9525">
                      <a:noFill/>
                      <a:miter lim="800000"/>
                      <a:headEnd/>
                      <a:tailEnd/>
                    </a:ln>
                  </pic:spPr>
                </pic:pic>
              </a:graphicData>
            </a:graphic>
          </wp:anchor>
        </w:drawing>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8"/>
          <w:szCs w:val="28"/>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8"/>
          <w:szCs w:val="28"/>
        </w:rPr>
      </w:pPr>
    </w:p>
    <w:p>
      <w:pPr>
        <w:keepNext w:val="0"/>
        <w:keepLines w:val="0"/>
        <w:pageBreakBefore w:val="0"/>
        <w:numPr>
          <w:ilvl w:val="0"/>
          <w:numId w:val="1"/>
        </w:numPr>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教学策略多点突破</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1.分层教学</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任教学生的地理知识两极分化的现象比较严重，绘制地图能力的差异很大，有的学生完成得很快，有的学生却拖拖拉拉；有的学生能够举一反三，有的百思不得其解。因此，在课上我经常会布置分层作业。比如在第一课时“地图的语言”中，能力较弱的同学只要在地图上绘制我国首都北京、长江及黄河的图例；而对于任务完成得又快又好的同学也可以继续为我国主要山脉、长城等地理事物，标注图例或注记。再如第二课时“三笔画世界”，对于基础较好的同学可以在世界地图中呈现出南北纬度/半球、东西经度/半球的划分；而基础薄弱的同学只要标注七大洲、四大洋的名称即可。通过分层教学，对不同学情的学生因材施教，使得全体学生都能学有所获、学有所长。</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2.小组协作</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在学生们完成了一系列个人为主的作品后，我还发布了一个需要团队协作完成的任务：以小组为单位，根据老师给定的阅读材料，利用我国“两田一口”</w:t>
      </w:r>
      <w:r>
        <w:rPr>
          <w:rFonts w:hint="eastAsia" w:ascii="宋体" w:hAnsi="宋体" w:eastAsia="宋体" w:cs="宋体"/>
          <w:sz w:val="28"/>
          <w:szCs w:val="28"/>
          <w:vertAlign w:val="superscript"/>
          <w:lang w:val="en-US" w:eastAsia="zh-CN"/>
        </w:rPr>
        <w:t>[1]</w:t>
      </w:r>
      <w:r>
        <w:rPr>
          <w:rFonts w:hint="eastAsia" w:ascii="宋体" w:hAnsi="宋体" w:eastAsia="宋体" w:cs="宋体"/>
          <w:sz w:val="28"/>
          <w:szCs w:val="28"/>
        </w:rPr>
        <w:t>的经纬网结构，绘制我们中国的轮廓图（见图2）。中国轮廓图是比较难画的，而通过经纬网定位的方式就可以大幅降低难度。组内同学各施所长：基础较好的绘制“两田一口”经纬网，其他的可以绘制中国轮廓图，还有一位负责补充图例和注记。</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sz w:val="28"/>
        </w:rPr>
        <w:pict>
          <v:group id="_x0000_s1032" o:spid="_x0000_s1032" o:spt="203" style="position:absolute;left:0pt;margin-left:97.05pt;margin-top:6.95pt;height:226pt;width:240.7pt;z-index:251662336;mso-width-relative:page;mso-height-relative:page;" coordorigin="7755,110805" coordsize="4814,4520">
            <o:lock v:ext="edit" aspectratio="f"/>
            <v:shape id="_x0000_s1029" o:spid="_x0000_s1029" o:spt="75" type="#_x0000_t75" style="position:absolute;left:7755;top:110805;height:3746;width:4814;" filled="f" o:preferrelative="t" stroked="f" coordsize="21600,21600">
              <v:path/>
              <v:fill on="f" focussize="0,0"/>
              <v:stroke on="f"/>
              <v:imagedata r:id="rId8" o:title=""/>
              <o:lock v:ext="edit" aspectratio="t"/>
            </v:shape>
            <v:shape id="_x0000_s1028" o:spid="_x0000_s1028" o:spt="202" type="#_x0000_t202" style="position:absolute;left:8737;top:114575;height:751;width:2909;" fillcolor="#FFFFFF" filled="t" stroked="f" coordsize="21600,21600">
              <v:path/>
              <v:fill on="t" color2="#FFFFFF" focussize="0,0"/>
              <v:stroke on="f"/>
              <v:imagedata o:title=""/>
              <o:lock v:ext="edit" aspectratio="f"/>
              <v:textbox>
                <w:txbxContent>
                  <w:p>
                    <w:pPr>
                      <w:jc w:val="center"/>
                      <w:rPr>
                        <w:sz w:val="28"/>
                        <w:szCs w:val="28"/>
                      </w:rPr>
                    </w:pPr>
                    <w:r>
                      <w:rPr>
                        <w:sz w:val="28"/>
                        <w:szCs w:val="28"/>
                      </w:rPr>
                      <w:t>图</w:t>
                    </w:r>
                    <w:r>
                      <w:rPr>
                        <w:rFonts w:hint="eastAsia"/>
                        <w:sz w:val="28"/>
                        <w:szCs w:val="28"/>
                      </w:rPr>
                      <w:t>2</w:t>
                    </w:r>
                    <w:r>
                      <w:rPr>
                        <w:sz w:val="28"/>
                        <w:szCs w:val="28"/>
                      </w:rPr>
                      <w:t xml:space="preserve"> 中国轮廓图</w:t>
                    </w:r>
                  </w:p>
                </w:txbxContent>
              </v:textbox>
            </v:shape>
          </v:group>
        </w:pic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课程中不仅有专门为小组设置的团体作业，在日常的学习中也经常会用分工协作的方法来降低学习的难度、减少耗费的时间。为了快速攻克难点，在学习地球公转时，把“春夏秋冬·二分二至日（春分秋分、夏至冬至）”的示意图分别交给小组内的四位同学来绘制，最后再拼合起各自的作品共同分析，从宏观的角度观察我们所生活的地球。</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3.自主探究</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从学生在老师的指导下填图、绘图，到最后放开手脚，留出充足的空间让孩子们自由发挥，这一段路是漫长的。经历了八课时的积累，我相信他们已经有了一定的绘图能力，并探究了分层设色地图的绘制方法。于是，我在第九课让孩子们依据自己的兴趣，选择任意一个区域（可以是一个国家、大洲、地区或者世界）及主题（地形、气温、降水等），自己查阅资料绘制一张分层设色地图。最后，孩子们还是交出了令人满意的答卷。由扶到放、自主探究的过程，反应了拓展课获得了明显的成效，孩子们已经有了独立绘制简易地图的能力。</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的拓展课暂时告一段落，这段时间说短不短，说长也不长，几节课而已。虽然课堂教学还不够精湛，开放度也不够高，学生的作品也比较稚嫩，但对我来说启发很大。我觉得，我在现代化教学这条创新的路上走，走对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上海市普通中小学课程方案》对这类课程是这样说的：“拓展型课程以培育学生的自主意识、完善学生的认知结构、提高学生自我规划和自主选择能力为宗旨，着眼于培养、激发和发展学生的兴趣爱好，开发学生的潜能，促进学生个性的发展”。我开设的课程符合《课程方案》的要求，是地理学科课程的延伸，是现代化教学的体现，重视学生自主创新意识的培养，养成乐于动手、勤于思索、独立自主的学习习惯。现代教学论告诉我们：“任何知识技能的领会和掌握，都要依靠学生独立自主的学习，教师不能包办代替。”</w:t>
      </w:r>
      <w:r>
        <w:rPr>
          <w:rFonts w:hint="eastAsia" w:ascii="宋体" w:hAnsi="宋体" w:eastAsia="宋体" w:cs="宋体"/>
          <w:sz w:val="28"/>
          <w:szCs w:val="28"/>
          <w:vertAlign w:val="superscript"/>
        </w:rPr>
        <w:t>[</w:t>
      </w:r>
      <w:r>
        <w:rPr>
          <w:rFonts w:hint="eastAsia" w:ascii="宋体" w:hAnsi="宋体" w:eastAsia="宋体" w:cs="宋体"/>
          <w:sz w:val="28"/>
          <w:szCs w:val="28"/>
          <w:vertAlign w:val="superscript"/>
          <w:lang w:val="en-US" w:eastAsia="zh-CN"/>
        </w:rPr>
        <w:t>2</w:t>
      </w:r>
      <w:r>
        <w:rPr>
          <w:rFonts w:hint="eastAsia" w:ascii="宋体" w:hAnsi="宋体" w:eastAsia="宋体" w:cs="宋体"/>
          <w:sz w:val="28"/>
          <w:szCs w:val="28"/>
          <w:vertAlign w:val="superscript"/>
        </w:rPr>
        <w:t>]</w:t>
      </w:r>
      <w:r>
        <w:rPr>
          <w:rFonts w:hint="eastAsia" w:ascii="宋体" w:hAnsi="宋体" w:eastAsia="宋体" w:cs="宋体"/>
          <w:sz w:val="28"/>
          <w:szCs w:val="28"/>
        </w:rPr>
        <w:t>当然，教师的主导作用也不能丧失，要引导学生积极主动地学习。</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绘制简易地图，老师和学生们都有了很大的成长，这是一个互相促进、教学相长的过程。“共享共创的结果是教师和学生相互促进、共同发展，是学生的道德、思想、智慧、兴趣、人格等的全面生成，是教师专业自我的成熟过程。”</w:t>
      </w:r>
      <w:r>
        <w:rPr>
          <w:rFonts w:hint="eastAsia" w:ascii="宋体" w:hAnsi="宋体" w:eastAsia="宋体" w:cs="宋体"/>
          <w:sz w:val="28"/>
          <w:szCs w:val="28"/>
          <w:vertAlign w:val="superscript"/>
          <w:lang w:val="en-US" w:eastAsia="zh-CN"/>
        </w:rPr>
        <w:t>[3]</w:t>
      </w:r>
      <w:r>
        <w:rPr>
          <w:rFonts w:hint="eastAsia" w:ascii="宋体" w:hAnsi="宋体" w:eastAsia="宋体" w:cs="宋体"/>
          <w:sz w:val="28"/>
          <w:szCs w:val="28"/>
        </w:rPr>
        <w:t>我是90后的新教师，教学理论和教学经验都是比较欠缺的，还需要不断地探索、实践。</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今后，我准备多引入一些热点问题或是地理现象来营造一个更现实、更复杂、更有趣、更开放的课堂情境，比如“一带一路”沿线国家的探索、“中美贸易战”对中国进出口货物的影响、上海市EVCARD站点的分布等，给学生多一些创想的空间，能绘制出更完美、更丰富的作品。</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sz w:val="24"/>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rPr>
          <w:rFonts w:hint="eastAsia" w:ascii="黑体" w:hAnsi="黑体" w:eastAsia="黑体" w:cs="黑体"/>
          <w:sz w:val="28"/>
          <w:szCs w:val="28"/>
        </w:rPr>
      </w:pPr>
      <w:r>
        <w:rPr>
          <w:rFonts w:hint="eastAsia" w:ascii="宋体" w:hAnsi="宋体" w:eastAsia="宋体" w:cs="宋体"/>
          <w:sz w:val="28"/>
          <w:szCs w:val="28"/>
          <w:lang w:val="en-US" w:eastAsia="zh-CN"/>
        </w:rPr>
        <w:t>2020年9月28日</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sz w:val="28"/>
          <w:szCs w:val="28"/>
        </w:rPr>
      </w:pPr>
      <w:bookmarkStart w:id="0" w:name="_GoBack"/>
      <w:bookmarkEnd w:id="0"/>
    </w:p>
    <w:p>
      <w:pPr>
        <w:keepNext w:val="0"/>
        <w:keepLines w:val="0"/>
        <w:pageBreakBefore w:val="0"/>
        <w:kinsoku/>
        <w:wordWrap/>
        <w:overflowPunct/>
        <w:topLinePunct w:val="0"/>
        <w:autoSpaceDE/>
        <w:autoSpaceDN/>
        <w:bidi w:val="0"/>
        <w:adjustRightInd/>
        <w:snapToGrid/>
        <w:spacing w:line="360" w:lineRule="auto"/>
        <w:textAlignment w:val="auto"/>
        <w:rPr>
          <w:rFonts w:ascii="黑体" w:hAnsi="黑体" w:eastAsia="黑体" w:cs="黑体"/>
          <w:sz w:val="28"/>
          <w:szCs w:val="28"/>
        </w:rPr>
      </w:pPr>
      <w:r>
        <w:rPr>
          <w:rFonts w:hint="eastAsia" w:ascii="黑体" w:hAnsi="黑体" w:eastAsia="黑体" w:cs="黑体"/>
          <w:sz w:val="28"/>
          <w:szCs w:val="28"/>
        </w:rPr>
        <w:t>参考文献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[1]蔡绮娜,曹德希.巧用“两田一口”网格简图法培养学生区域认知结构[J].地理教学,2017(02):38-41+18.</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[2]陈澄.新编地理教学论[M].华东师范大学出版社,2007.</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[3]江晔,刘兰.地理课堂教学技能训练[M].华东师范大学出版社,2008.</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[4]全国十二所重点师范大学联合编写.教育学基础[M].教育科学出版社,2002.</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[5]徐继存,徐文彬.课程与教学论[M].高等教育出版社,2009.</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pPr>
        <w:keepNext w:val="0"/>
        <w:keepLines w:val="0"/>
        <w:pageBreakBefore w:val="0"/>
        <w:kinsoku/>
        <w:wordWrap w:val="0"/>
        <w:overflowPunct/>
        <w:topLinePunct w:val="0"/>
        <w:autoSpaceDE/>
        <w:autoSpaceDN/>
        <w:bidi w:val="0"/>
        <w:adjustRightInd/>
        <w:snapToGrid/>
        <w:spacing w:line="360" w:lineRule="auto"/>
        <w:ind w:firstLine="560" w:firstLineChars="200"/>
        <w:jc w:val="both"/>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sectPr>
      <w:footerReference r:id="rId5" w:type="default"/>
      <w:pgSz w:w="11906" w:h="16838"/>
      <w:pgMar w:top="1417" w:right="1417" w:bottom="1417" w:left="1417" w:header="851" w:footer="850"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CEB6D8"/>
    <w:multiLevelType w:val="singleLevel"/>
    <w:tmpl w:val="57CEB6D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wMzJiNzc0YTI4NGNhZTllZGY4MTBmMjJjODE4ODgifQ=="/>
  </w:docVars>
  <w:rsids>
    <w:rsidRoot w:val="002726BE"/>
    <w:rsid w:val="00054A27"/>
    <w:rsid w:val="000939AD"/>
    <w:rsid w:val="000F6F1A"/>
    <w:rsid w:val="00146007"/>
    <w:rsid w:val="00165A27"/>
    <w:rsid w:val="001741E4"/>
    <w:rsid w:val="001F23A4"/>
    <w:rsid w:val="00261A64"/>
    <w:rsid w:val="002726BE"/>
    <w:rsid w:val="00290D53"/>
    <w:rsid w:val="003222B9"/>
    <w:rsid w:val="0038602E"/>
    <w:rsid w:val="00390558"/>
    <w:rsid w:val="00395BA8"/>
    <w:rsid w:val="003D268A"/>
    <w:rsid w:val="004511B4"/>
    <w:rsid w:val="004537A6"/>
    <w:rsid w:val="004540C3"/>
    <w:rsid w:val="00472B60"/>
    <w:rsid w:val="004F0D1A"/>
    <w:rsid w:val="00527D0A"/>
    <w:rsid w:val="005414D4"/>
    <w:rsid w:val="005743DF"/>
    <w:rsid w:val="00577522"/>
    <w:rsid w:val="006003FC"/>
    <w:rsid w:val="00645CA9"/>
    <w:rsid w:val="00654ABB"/>
    <w:rsid w:val="006C7C56"/>
    <w:rsid w:val="00705EFB"/>
    <w:rsid w:val="007151CA"/>
    <w:rsid w:val="0075744C"/>
    <w:rsid w:val="007A1BC5"/>
    <w:rsid w:val="007B0691"/>
    <w:rsid w:val="007F784B"/>
    <w:rsid w:val="007F7CE5"/>
    <w:rsid w:val="008111BC"/>
    <w:rsid w:val="00850598"/>
    <w:rsid w:val="00881F30"/>
    <w:rsid w:val="008A16FF"/>
    <w:rsid w:val="008A1BF6"/>
    <w:rsid w:val="008F196D"/>
    <w:rsid w:val="0091364C"/>
    <w:rsid w:val="00915FB9"/>
    <w:rsid w:val="00971986"/>
    <w:rsid w:val="009E54C6"/>
    <w:rsid w:val="00AB6085"/>
    <w:rsid w:val="00B369A7"/>
    <w:rsid w:val="00B43769"/>
    <w:rsid w:val="00B7273F"/>
    <w:rsid w:val="00BA71A5"/>
    <w:rsid w:val="00C10B13"/>
    <w:rsid w:val="00C61604"/>
    <w:rsid w:val="00D32653"/>
    <w:rsid w:val="00D64E27"/>
    <w:rsid w:val="00D66E74"/>
    <w:rsid w:val="00DE0EE5"/>
    <w:rsid w:val="00E32B19"/>
    <w:rsid w:val="00E43944"/>
    <w:rsid w:val="00E46503"/>
    <w:rsid w:val="00F34001"/>
    <w:rsid w:val="00FE2E41"/>
    <w:rsid w:val="03D412F9"/>
    <w:rsid w:val="04E256E7"/>
    <w:rsid w:val="05940DCB"/>
    <w:rsid w:val="06DA6FF6"/>
    <w:rsid w:val="099D3807"/>
    <w:rsid w:val="0A67384E"/>
    <w:rsid w:val="0B9F496A"/>
    <w:rsid w:val="100B6157"/>
    <w:rsid w:val="11871CF0"/>
    <w:rsid w:val="18FE118C"/>
    <w:rsid w:val="19F1759D"/>
    <w:rsid w:val="1A0547E2"/>
    <w:rsid w:val="1B080878"/>
    <w:rsid w:val="1BA333BA"/>
    <w:rsid w:val="1BCB7B8C"/>
    <w:rsid w:val="1BFA6573"/>
    <w:rsid w:val="1F553641"/>
    <w:rsid w:val="211840B1"/>
    <w:rsid w:val="21590632"/>
    <w:rsid w:val="219D74E0"/>
    <w:rsid w:val="239E5110"/>
    <w:rsid w:val="27C97C9B"/>
    <w:rsid w:val="28740605"/>
    <w:rsid w:val="2A001EE9"/>
    <w:rsid w:val="2A3974EE"/>
    <w:rsid w:val="2B8A7470"/>
    <w:rsid w:val="2D6D2176"/>
    <w:rsid w:val="2D995E2C"/>
    <w:rsid w:val="313C208B"/>
    <w:rsid w:val="3267715A"/>
    <w:rsid w:val="326F2B70"/>
    <w:rsid w:val="370421A3"/>
    <w:rsid w:val="37694CC8"/>
    <w:rsid w:val="378C102C"/>
    <w:rsid w:val="39AA5C21"/>
    <w:rsid w:val="3A217A5D"/>
    <w:rsid w:val="3A435A89"/>
    <w:rsid w:val="3C3F5727"/>
    <w:rsid w:val="3EB25535"/>
    <w:rsid w:val="3FA00BA5"/>
    <w:rsid w:val="3FFE70FB"/>
    <w:rsid w:val="40463DB6"/>
    <w:rsid w:val="40FB15D9"/>
    <w:rsid w:val="41A22200"/>
    <w:rsid w:val="42037E9E"/>
    <w:rsid w:val="44AE41AA"/>
    <w:rsid w:val="49F075FC"/>
    <w:rsid w:val="4B7C1E42"/>
    <w:rsid w:val="4DCF0C00"/>
    <w:rsid w:val="4EB40E10"/>
    <w:rsid w:val="4FAC784F"/>
    <w:rsid w:val="4FC91604"/>
    <w:rsid w:val="505554B3"/>
    <w:rsid w:val="54277C95"/>
    <w:rsid w:val="548B55A0"/>
    <w:rsid w:val="551219FE"/>
    <w:rsid w:val="56C70D95"/>
    <w:rsid w:val="56C963B4"/>
    <w:rsid w:val="57011207"/>
    <w:rsid w:val="586B3E4D"/>
    <w:rsid w:val="59D402D7"/>
    <w:rsid w:val="59E06A79"/>
    <w:rsid w:val="5B9415FA"/>
    <w:rsid w:val="5D7D6B8A"/>
    <w:rsid w:val="5FD3008D"/>
    <w:rsid w:val="60205F12"/>
    <w:rsid w:val="62061A5D"/>
    <w:rsid w:val="63E63136"/>
    <w:rsid w:val="642F0558"/>
    <w:rsid w:val="68266FC8"/>
    <w:rsid w:val="6A193BDE"/>
    <w:rsid w:val="6C1B6E04"/>
    <w:rsid w:val="6D2E62A1"/>
    <w:rsid w:val="6DCE2F43"/>
    <w:rsid w:val="6F867817"/>
    <w:rsid w:val="72B51095"/>
    <w:rsid w:val="73644F7E"/>
    <w:rsid w:val="74183F0C"/>
    <w:rsid w:val="74D6330C"/>
    <w:rsid w:val="75F7453E"/>
    <w:rsid w:val="783262E9"/>
    <w:rsid w:val="78C427A8"/>
    <w:rsid w:val="79340835"/>
    <w:rsid w:val="79557C09"/>
    <w:rsid w:val="7AD12120"/>
    <w:rsid w:val="7B2050EB"/>
    <w:rsid w:val="7CBC09EB"/>
    <w:rsid w:val="7E5A64CF"/>
    <w:rsid w:val="7F9A1FA2"/>
    <w:rsid w:val="7FE03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endnote text"/>
    <w:basedOn w:val="1"/>
    <w:link w:val="12"/>
    <w:qFormat/>
    <w:uiPriority w:val="0"/>
    <w:pPr>
      <w:snapToGrid w:val="0"/>
      <w:jc w:val="left"/>
    </w:pPr>
  </w:style>
  <w:style w:type="paragraph" w:styleId="3">
    <w:name w:val="Balloon Text"/>
    <w:basedOn w:val="1"/>
    <w:link w:val="15"/>
    <w:qFormat/>
    <w:uiPriority w:val="0"/>
    <w:rPr>
      <w:sz w:val="18"/>
      <w:szCs w:val="18"/>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footnote text"/>
    <w:basedOn w:val="1"/>
    <w:qFormat/>
    <w:uiPriority w:val="0"/>
    <w:pPr>
      <w:snapToGrid w:val="0"/>
      <w:jc w:val="left"/>
    </w:pPr>
    <w:rPr>
      <w:sz w:val="18"/>
    </w:rPr>
  </w:style>
  <w:style w:type="table" w:styleId="8">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0">
    <w:name w:val="endnote reference"/>
    <w:basedOn w:val="9"/>
    <w:qFormat/>
    <w:uiPriority w:val="0"/>
    <w:rPr>
      <w:vertAlign w:val="superscript"/>
    </w:rPr>
  </w:style>
  <w:style w:type="character" w:styleId="11">
    <w:name w:val="footnote reference"/>
    <w:basedOn w:val="9"/>
    <w:qFormat/>
    <w:uiPriority w:val="0"/>
    <w:rPr>
      <w:vertAlign w:val="superscript"/>
    </w:rPr>
  </w:style>
  <w:style w:type="character" w:customStyle="1" w:styleId="12">
    <w:name w:val="尾注文本 Char"/>
    <w:basedOn w:val="9"/>
    <w:link w:val="2"/>
    <w:qFormat/>
    <w:uiPriority w:val="0"/>
    <w:rPr>
      <w:rFonts w:asciiTheme="minorHAnsi" w:hAnsiTheme="minorHAnsi" w:eastAsiaTheme="minorEastAsia" w:cstheme="minorBidi"/>
      <w:kern w:val="2"/>
      <w:sz w:val="21"/>
      <w:szCs w:val="24"/>
    </w:r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character" w:customStyle="1" w:styleId="15">
    <w:name w:val="批注框文本 Char"/>
    <w:basedOn w:val="9"/>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31"/>
    <customShpInfo spid="_x0000_s1029"/>
    <customShpInfo spid="_x0000_s1028"/>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9539F3-0D59-468C-8E9F-CE74AEEB7CC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4734</Words>
  <Characters>4825</Characters>
  <Lines>35</Lines>
  <Paragraphs>9</Paragraphs>
  <TotalTime>0</TotalTime>
  <ScaleCrop>false</ScaleCrop>
  <LinksUpToDate>false</LinksUpToDate>
  <CharactersWithSpaces>4837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89697</dc:creator>
  <cp:lastModifiedBy>执笔</cp:lastModifiedBy>
  <dcterms:modified xsi:type="dcterms:W3CDTF">2023-04-16T08:00:01Z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41B8F82D49724BFFAC03C54DC4D1ACDD_12</vt:lpwstr>
  </property>
</Properties>
</file>