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line="360" w:lineRule="auto"/>
        <w:jc w:val="center"/>
        <w:rPr>
          <w:rStyle w:val="16"/>
          <w:rFonts w:ascii="黑体" w:hAnsi="黑体" w:eastAsia="黑体"/>
          <w:color w:val="000000" w:themeColor="text1"/>
          <w:sz w:val="32"/>
          <w:szCs w:val="30"/>
          <w14:textFill>
            <w14:solidFill>
              <w14:schemeClr w14:val="tx1"/>
            </w14:solidFill>
          </w14:textFill>
        </w:rPr>
      </w:pPr>
      <w:r>
        <w:rPr>
          <w:rStyle w:val="16"/>
          <w:rFonts w:ascii="黑体" w:hAnsi="黑体" w:eastAsia="黑体"/>
          <w:sz w:val="32"/>
          <w:szCs w:val="30"/>
        </w:rPr>
        <w:t>新形势下</w:t>
      </w:r>
      <w:r>
        <w:rPr>
          <w:rStyle w:val="16"/>
          <w:rFonts w:ascii="黑体" w:hAnsi="黑体" w:eastAsia="黑体"/>
          <w:color w:val="000000" w:themeColor="text1"/>
          <w:sz w:val="32"/>
          <w:szCs w:val="30"/>
          <w14:textFill>
            <w14:solidFill>
              <w14:schemeClr w14:val="tx1"/>
            </w14:solidFill>
          </w14:textFill>
        </w:rPr>
        <w:t>校外教育学生民族乐团发展模式研究</w:t>
      </w:r>
    </w:p>
    <w:p>
      <w:pPr>
        <w:pStyle w:val="14"/>
        <w:spacing w:line="360" w:lineRule="auto"/>
        <w:jc w:val="center"/>
        <w:rPr>
          <w:rStyle w:val="16"/>
          <w:rFonts w:ascii="黑体" w:hAnsi="黑体" w:eastAsia="黑体"/>
          <w:color w:val="000000" w:themeColor="text1"/>
          <w:sz w:val="36"/>
          <w:szCs w:val="32"/>
          <w14:textFill>
            <w14:solidFill>
              <w14:schemeClr w14:val="tx1"/>
            </w14:solidFill>
          </w14:textFill>
        </w:rPr>
      </w:pPr>
      <w:r>
        <w:rPr>
          <w:rStyle w:val="17"/>
          <w:rFonts w:ascii="黑体" w:hAnsi="黑体" w:eastAsia="黑体"/>
          <w:color w:val="000000" w:themeColor="text1"/>
          <w:sz w:val="32"/>
          <w:szCs w:val="30"/>
          <w14:textFill>
            <w14:solidFill>
              <w14:schemeClr w14:val="tx1"/>
            </w14:solidFill>
          </w14:textFill>
        </w:rPr>
        <w:t xml:space="preserve">                   </w:t>
      </w:r>
      <w:r>
        <w:rPr>
          <w:rStyle w:val="17"/>
          <w:rFonts w:hint="eastAsia" w:ascii="黑体" w:hAnsi="黑体" w:eastAsia="黑体"/>
          <w:color w:val="000000" w:themeColor="text1"/>
          <w:sz w:val="32"/>
          <w:szCs w:val="30"/>
          <w14:textFill>
            <w14:solidFill>
              <w14:schemeClr w14:val="tx1"/>
            </w14:solidFill>
          </w14:textFill>
        </w:rPr>
        <w:t>--</w:t>
      </w:r>
      <w:bookmarkStart w:id="0" w:name="_GoBack"/>
      <w:bookmarkEnd w:id="0"/>
      <w:r>
        <w:rPr>
          <w:rStyle w:val="17"/>
          <w:rFonts w:hint="eastAsia" w:ascii="黑体" w:hAnsi="黑体" w:eastAsia="黑体"/>
          <w:color w:val="000000" w:themeColor="text1"/>
          <w:sz w:val="32"/>
          <w:szCs w:val="30"/>
          <w14:textFill>
            <w14:solidFill>
              <w14:schemeClr w14:val="tx1"/>
            </w14:solidFill>
          </w14:textFill>
        </w:rPr>
        <w:t>-</w:t>
      </w:r>
      <w:r>
        <w:rPr>
          <w:rStyle w:val="16"/>
          <w:rFonts w:ascii="黑体" w:hAnsi="黑体" w:eastAsia="黑体"/>
          <w:color w:val="000000" w:themeColor="text1"/>
          <w:sz w:val="32"/>
          <w:szCs w:val="30"/>
          <w14:textFill>
            <w14:solidFill>
              <w14:schemeClr w14:val="tx1"/>
            </w14:solidFill>
          </w14:textFill>
        </w:rPr>
        <w:t>以</w:t>
      </w:r>
      <w:r>
        <w:rPr>
          <w:rStyle w:val="16"/>
          <w:rFonts w:hint="eastAsia" w:ascii="黑体" w:hAnsi="黑体" w:eastAsia="黑体"/>
          <w:color w:val="000000" w:themeColor="text1"/>
          <w:sz w:val="32"/>
          <w:szCs w:val="30"/>
          <w14:textFill>
            <w14:solidFill>
              <w14:schemeClr w14:val="tx1"/>
            </w14:solidFill>
          </w14:textFill>
        </w:rPr>
        <w:t>奉贤区</w:t>
      </w:r>
      <w:r>
        <w:rPr>
          <w:rStyle w:val="16"/>
          <w:rFonts w:ascii="黑体" w:hAnsi="黑体" w:eastAsia="黑体"/>
          <w:color w:val="000000" w:themeColor="text1"/>
          <w:sz w:val="32"/>
          <w:szCs w:val="30"/>
          <w14:textFill>
            <w14:solidFill>
              <w14:schemeClr w14:val="tx1"/>
            </w14:solidFill>
          </w14:textFill>
        </w:rPr>
        <w:t>学生艺术团民族乐团为例</w:t>
      </w:r>
    </w:p>
    <w:p>
      <w:pPr>
        <w:pStyle w:val="14"/>
        <w:spacing w:line="360" w:lineRule="auto"/>
        <w:ind w:firstLine="2520" w:firstLineChars="700"/>
        <w:rPr>
          <w:rFonts w:hint="default" w:ascii="黑体" w:hAnsi="黑体" w:eastAsia="黑体"/>
          <w:color w:val="000000" w:themeColor="text1"/>
          <w:sz w:val="36"/>
          <w:szCs w:val="32"/>
          <w:lang w:val="en-US" w:eastAsia="zh-CN"/>
          <w14:textFill>
            <w14:solidFill>
              <w14:schemeClr w14:val="tx1"/>
            </w14:solidFill>
          </w14:textFill>
        </w:rPr>
      </w:pPr>
      <w:r>
        <w:rPr>
          <w:rFonts w:hint="eastAsia" w:ascii="黑体" w:hAnsi="黑体" w:eastAsia="黑体"/>
          <w:color w:val="000000" w:themeColor="text1"/>
          <w:sz w:val="36"/>
          <w:szCs w:val="32"/>
          <w:lang w:val="en-US" w:eastAsia="zh-CN"/>
          <w14:textFill>
            <w14:solidFill>
              <w14:schemeClr w14:val="tx1"/>
            </w14:solidFill>
          </w14:textFill>
        </w:rPr>
        <w:t>奉贤区青少年活动中心  苏斌</w:t>
      </w:r>
    </w:p>
    <w:p>
      <w:pPr>
        <w:pStyle w:val="14"/>
        <w:spacing w:line="360" w:lineRule="auto"/>
        <w:rPr>
          <w:rFonts w:ascii="宋体" w:hAnsi="宋体"/>
          <w:color w:val="000000" w:themeColor="text1"/>
          <w:kern w:val="2"/>
          <w:sz w:val="28"/>
          <w:szCs w:val="24"/>
          <w14:textFill>
            <w14:solidFill>
              <w14:schemeClr w14:val="tx1"/>
            </w14:solidFill>
          </w14:textFill>
        </w:rPr>
      </w:pPr>
      <w:r>
        <w:rPr>
          <w:rFonts w:hint="eastAsia" w:ascii="宋体" w:hAnsi="宋体"/>
          <w:color w:val="000000" w:themeColor="text1"/>
          <w:kern w:val="2"/>
          <w:sz w:val="28"/>
          <w:szCs w:val="24"/>
          <w14:textFill>
            <w14:solidFill>
              <w14:schemeClr w14:val="tx1"/>
            </w14:solidFill>
          </w14:textFill>
        </w:rPr>
        <w:t>摘  要：本文通过对</w:t>
      </w:r>
      <w:r>
        <w:rPr>
          <w:rFonts w:hint="eastAsia" w:ascii="宋体" w:hAnsi="宋体"/>
          <w:kern w:val="2"/>
          <w:sz w:val="28"/>
          <w:szCs w:val="24"/>
        </w:rPr>
        <w:t>上海市</w:t>
      </w:r>
      <w:r>
        <w:rPr>
          <w:rFonts w:hint="eastAsia" w:ascii="宋体" w:hAnsi="宋体"/>
          <w:color w:val="000000" w:themeColor="text1"/>
          <w:kern w:val="2"/>
          <w:sz w:val="28"/>
          <w:szCs w:val="24"/>
          <w14:textFill>
            <w14:solidFill>
              <w14:schemeClr w14:val="tx1"/>
            </w14:solidFill>
          </w14:textFill>
        </w:rPr>
        <w:t>奉贤区学生民族乐团的探索发展之路为例进行深入探究。从师资团队、发展模式，探索中的民乐“云教学” 三方面，剖析乐团的发展模式，分析归纳乐团的发展脉络，总结乐团发展的经验，并由此</w:t>
      </w:r>
      <w:r>
        <w:rPr>
          <w:rFonts w:hint="eastAsia" w:ascii="宋体" w:hAnsi="宋体"/>
          <w:kern w:val="2"/>
          <w:sz w:val="28"/>
          <w:szCs w:val="24"/>
        </w:rPr>
        <w:t>探索总结</w:t>
      </w:r>
      <w:r>
        <w:rPr>
          <w:rFonts w:hint="eastAsia" w:ascii="宋体" w:hAnsi="宋体"/>
          <w:color w:val="000000" w:themeColor="text1"/>
          <w:kern w:val="2"/>
          <w:sz w:val="28"/>
          <w:szCs w:val="24"/>
          <w14:textFill>
            <w14:solidFill>
              <w14:schemeClr w14:val="tx1"/>
            </w14:solidFill>
          </w14:textFill>
        </w:rPr>
        <w:t>新形势下校外教育学生民族乐团发展模式，为奉贤学生民族乐团的可持续发展模式提供现实及理论依据；为上海市校外教育机构民族器乐教育的良性发展提供个案参考；为民族器乐和民族文化的传承与发展贡献基层的智慧和力量。</w:t>
      </w:r>
    </w:p>
    <w:p>
      <w:pPr>
        <w:pStyle w:val="14"/>
        <w:spacing w:line="360" w:lineRule="auto"/>
        <w:rPr>
          <w:rFonts w:ascii="宋体" w:hAnsi="宋体"/>
          <w:color w:val="000000" w:themeColor="text1"/>
          <w:kern w:val="2"/>
          <w:sz w:val="28"/>
          <w:szCs w:val="24"/>
          <w14:textFill>
            <w14:solidFill>
              <w14:schemeClr w14:val="tx1"/>
            </w14:solidFill>
          </w14:textFill>
        </w:rPr>
      </w:pPr>
    </w:p>
    <w:p>
      <w:pPr>
        <w:pStyle w:val="14"/>
        <w:spacing w:line="360" w:lineRule="auto"/>
        <w:rPr>
          <w:rStyle w:val="16"/>
          <w:rFonts w:ascii="宋体" w:hAnsi="宋体"/>
          <w:color w:val="000000" w:themeColor="text1"/>
          <w:sz w:val="28"/>
          <w:szCs w:val="24"/>
          <w14:textFill>
            <w14:solidFill>
              <w14:schemeClr w14:val="tx1"/>
            </w14:solidFill>
          </w14:textFill>
        </w:rPr>
      </w:pPr>
      <w:r>
        <w:rPr>
          <w:rStyle w:val="16"/>
          <w:rFonts w:hint="eastAsia" w:ascii="宋体" w:hAnsi="宋体"/>
          <w:color w:val="000000" w:themeColor="text1"/>
          <w:sz w:val="28"/>
          <w:szCs w:val="24"/>
          <w14:textFill>
            <w14:solidFill>
              <w14:schemeClr w14:val="tx1"/>
            </w14:solidFill>
          </w14:textFill>
        </w:rPr>
        <w:t>关键词：校外教育；学生民族乐团；发展模式</w:t>
      </w:r>
    </w:p>
    <w:p>
      <w:pPr>
        <w:pStyle w:val="14"/>
        <w:spacing w:line="360" w:lineRule="auto"/>
        <w:rPr>
          <w:rFonts w:ascii="宋体" w:hAnsi="宋体"/>
          <w:color w:val="000000" w:themeColor="text1"/>
          <w:sz w:val="28"/>
          <w:szCs w:val="24"/>
          <w14:textFill>
            <w14:solidFill>
              <w14:schemeClr w14:val="tx1"/>
            </w14:solidFill>
          </w14:textFill>
        </w:rPr>
      </w:pPr>
    </w:p>
    <w:p>
      <w:pPr>
        <w:widowControl/>
        <w:spacing w:line="360" w:lineRule="auto"/>
        <w:ind w:firstLine="560" w:firstLineChars="200"/>
        <w:jc w:val="left"/>
        <w:rPr>
          <w:rFonts w:ascii="宋体" w:hAnsi="宋体" w:eastAsia="宋体" w:cs="宋体"/>
          <w:color w:val="000000" w:themeColor="text1"/>
          <w:kern w:val="0"/>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民族器乐作为中国传统民族文化和乐器是实施美育教育和民族文化教育的主要渠道，也是弘扬和培育民族精神的重要载体。习近平总书记在全国教育大会上强调，新形势下“坚持把立德树人作为根本任务，要全面加强和改进学校美育，坚持以美育人、以文化人，提高学生审美和人文素养。”</w:t>
      </w:r>
      <w:r>
        <w:rPr>
          <w:rStyle w:val="13"/>
          <w:rFonts w:hint="eastAsia" w:ascii="宋体" w:hAnsi="宋体" w:eastAsia="宋体" w:cs="宋体"/>
          <w:color w:val="000000" w:themeColor="text1"/>
          <w:sz w:val="28"/>
          <w14:textFill>
            <w14:solidFill>
              <w14:schemeClr w14:val="tx1"/>
            </w14:solidFill>
          </w14:textFill>
        </w:rPr>
        <w:footnoteReference w:id="0"/>
      </w:r>
      <w:r>
        <w:rPr>
          <w:rFonts w:hint="eastAsia" w:ascii="宋体" w:hAnsi="宋体" w:eastAsia="宋体" w:cs="宋体"/>
          <w:color w:val="000000" w:themeColor="text1"/>
          <w:sz w:val="28"/>
          <w14:textFill>
            <w14:solidFill>
              <w14:schemeClr w14:val="tx1"/>
            </w14:solidFill>
          </w14:textFill>
        </w:rPr>
        <w:t>在美育教育当中，民族器乐的教育是很重要的一环。学习民族器乐不仅可以让学生学习到民乐基础知识，掌握演奏技能，而且还能激发学生弘扬和继承优秀民族文化的志向，培养学生对民族音乐的热情，促进学生全面发展</w:t>
      </w:r>
      <w:r>
        <w:rPr>
          <w:rStyle w:val="13"/>
          <w:rFonts w:hint="eastAsia" w:ascii="宋体" w:hAnsi="宋体" w:eastAsia="宋体" w:cs="宋体"/>
          <w:color w:val="000000" w:themeColor="text1"/>
          <w:sz w:val="28"/>
          <w14:textFill>
            <w14:solidFill>
              <w14:schemeClr w14:val="tx1"/>
            </w14:solidFill>
          </w14:textFill>
        </w:rPr>
        <w:footnoteReference w:id="1"/>
      </w:r>
      <w:r>
        <w:rPr>
          <w:rFonts w:hint="eastAsia" w:ascii="宋体" w:hAnsi="宋体" w:eastAsia="宋体" w:cs="宋体"/>
          <w:color w:val="000000" w:themeColor="text1"/>
          <w:sz w:val="28"/>
          <w14:textFill>
            <w14:solidFill>
              <w14:schemeClr w14:val="tx1"/>
            </w14:solidFill>
          </w14:textFill>
        </w:rPr>
        <w:t>。</w:t>
      </w:r>
    </w:p>
    <w:p>
      <w:pPr>
        <w:widowControl/>
        <w:spacing w:line="360" w:lineRule="auto"/>
        <w:ind w:firstLine="560" w:firstLineChars="200"/>
        <w:jc w:val="left"/>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奉贤区学生艺术团民族乐团成立于2013年，下设民乐团、打击乐分团，现有团员近70人。乐团的发展不同于单一项目的发展，不仅需要专业素质高、教学水平高的师资团队，更需要完善科学的发展模式保障才能助力乐团的成长。本文以“优质的师资配备”、“立体化的发展模式”、“探索中的民乐‘云教学’”三部分进行论述，深入的剖析乐团的发展之路，探讨在新形势下校外教育学生民族乐团的发展模式。</w:t>
      </w:r>
    </w:p>
    <w:p>
      <w:pPr>
        <w:pStyle w:val="20"/>
        <w:widowControl/>
        <w:spacing w:line="360" w:lineRule="auto"/>
        <w:ind w:firstLine="602"/>
        <w:jc w:val="left"/>
        <w:rPr>
          <w:rStyle w:val="16"/>
          <w:rFonts w:ascii="宋体" w:hAnsi="宋体" w:eastAsia="宋体" w:cs="宋体"/>
          <w:sz w:val="30"/>
          <w:szCs w:val="30"/>
        </w:rPr>
      </w:pPr>
      <w:r>
        <w:rPr>
          <w:rStyle w:val="16"/>
          <w:rFonts w:hint="eastAsia" w:ascii="宋体" w:hAnsi="宋体" w:eastAsia="宋体" w:cs="宋体"/>
          <w:b/>
          <w:bCs/>
          <w:sz w:val="30"/>
          <w:szCs w:val="30"/>
        </w:rPr>
        <w:t>一、优质的师资配备</w:t>
      </w:r>
    </w:p>
    <w:p>
      <w:pPr>
        <w:pStyle w:val="20"/>
        <w:widowControl/>
        <w:spacing w:line="360" w:lineRule="auto"/>
        <w:ind w:firstLine="560"/>
        <w:jc w:val="left"/>
        <w:rPr>
          <w:rStyle w:val="16"/>
          <w:rFonts w:ascii="宋体" w:hAnsi="宋体" w:eastAsia="宋体" w:cs="宋体"/>
          <w:color w:val="000000" w:themeColor="text1"/>
          <w:sz w:val="28"/>
          <w:szCs w:val="24"/>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drawing>
          <wp:anchor distT="0" distB="0" distL="114300" distR="114300" simplePos="0" relativeHeight="251659264" behindDoc="0" locked="0" layoutInCell="1" allowOverlap="1">
            <wp:simplePos x="0" y="0"/>
            <wp:positionH relativeFrom="column">
              <wp:posOffset>-306705</wp:posOffset>
            </wp:positionH>
            <wp:positionV relativeFrom="paragraph">
              <wp:posOffset>447040</wp:posOffset>
            </wp:positionV>
            <wp:extent cx="6202045" cy="2661920"/>
            <wp:effectExtent l="0" t="0" r="0" b="508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02045" cy="2661920"/>
                    </a:xfrm>
                    <a:prstGeom prst="rect">
                      <a:avLst/>
                    </a:prstGeom>
                  </pic:spPr>
                </pic:pic>
              </a:graphicData>
            </a:graphic>
          </wp:anchor>
        </w:drawing>
      </w:r>
      <w:r>
        <w:rPr>
          <w:rFonts w:hint="eastAsia" w:ascii="宋体" w:hAnsi="宋体" w:eastAsia="宋体" w:cs="宋体"/>
          <w:color w:val="000000" w:themeColor="text1"/>
          <w:sz w:val="28"/>
          <w14:textFill>
            <w14:solidFill>
              <w14:schemeClr w14:val="tx1"/>
            </w14:solidFill>
          </w14:textFill>
        </w:rPr>
        <w:t>外聘专家、中心师资及高校、市级专家资源。</w:t>
      </w:r>
    </w:p>
    <w:p>
      <w:pPr>
        <w:pStyle w:val="20"/>
        <w:widowControl/>
        <w:spacing w:line="360" w:lineRule="auto"/>
        <w:ind w:firstLine="560"/>
        <w:jc w:val="left"/>
        <w:rPr>
          <w:rFonts w:ascii="宋体" w:hAnsi="宋体" w:eastAsia="宋体" w:cs="宋体"/>
          <w:sz w:val="28"/>
        </w:rPr>
      </w:pPr>
      <w:r>
        <w:rPr>
          <w:rFonts w:hint="eastAsia" w:ascii="宋体" w:hAnsi="宋体" w:eastAsia="宋体" w:cs="宋体"/>
          <w:color w:val="000000" w:themeColor="text1"/>
          <w:sz w:val="28"/>
          <w14:textFill>
            <w14:solidFill>
              <w14:schemeClr w14:val="tx1"/>
            </w14:solidFill>
          </w14:textFill>
        </w:rPr>
        <w:t>我区地处远郊，民乐专业师资匮乏，中心领导采取“引进来”的方式，不断与上海民族乐团专家深入合作。从师资配备来看9位教师有8位来自专业（上海、武汉）音乐学院，保障乐团教学的专业性；乐团主要负责人笙与琵琶2位教师均毕业于上海音乐学院，具有优秀的专业演奏和教学能力，获得各类市级教学比赛奖项。两位教师依托自身的专业背景，与其在全国范围内影响巨大且专业造诣很高的笙教授，琵琶教授不断合作求教，为我区引入更加优质的教师资源及教学经验；通过两周一次的上海市民乐中心教研组的教研活动，与市级民乐专家、行家里手建立联系，提升我区的民乐教师的教学水准。</w:t>
      </w:r>
    </w:p>
    <w:p>
      <w:pPr>
        <w:pStyle w:val="20"/>
        <w:spacing w:line="360" w:lineRule="auto"/>
        <w:ind w:firstLine="602"/>
        <w:jc w:val="left"/>
        <w:rPr>
          <w:rStyle w:val="16"/>
          <w:rFonts w:ascii="宋体" w:hAnsi="宋体" w:eastAsia="宋体" w:cs="宋体"/>
          <w:b/>
          <w:bCs/>
          <w:sz w:val="30"/>
          <w:szCs w:val="30"/>
        </w:rPr>
      </w:pPr>
      <w:r>
        <w:rPr>
          <w:rFonts w:hint="eastAsia" w:ascii="宋体" w:hAnsi="宋体" w:eastAsia="宋体" w:cs="宋体"/>
          <w:b/>
          <w:bCs/>
          <w:sz w:val="30"/>
          <w:szCs w:val="30"/>
        </w:rPr>
        <w:t>二、立体化的发展模式</w:t>
      </w:r>
    </w:p>
    <w:p>
      <w:pPr>
        <w:pStyle w:val="18"/>
        <w:spacing w:line="360" w:lineRule="auto"/>
        <w:ind w:firstLine="602" w:firstLineChars="200"/>
        <w:rPr>
          <w:rFonts w:ascii="宋体" w:hAnsi="宋体"/>
          <w:b/>
          <w:bCs/>
          <w:sz w:val="30"/>
          <w:szCs w:val="30"/>
        </w:rPr>
      </w:pPr>
      <w:r>
        <w:rPr>
          <w:rStyle w:val="16"/>
          <w:rFonts w:hint="eastAsia" w:ascii="宋体" w:hAnsi="宋体"/>
          <w:b/>
          <w:bCs/>
          <w:sz w:val="30"/>
          <w:szCs w:val="30"/>
        </w:rPr>
        <w:t>（一）“全方位”管理制度</w:t>
      </w:r>
    </w:p>
    <w:p>
      <w:pPr>
        <w:pStyle w:val="14"/>
        <w:spacing w:line="360" w:lineRule="auto"/>
        <w:ind w:firstLine="560" w:firstLineChars="200"/>
        <w:rPr>
          <w:rFonts w:ascii="宋体" w:hAnsi="宋体"/>
          <w:sz w:val="28"/>
          <w:szCs w:val="24"/>
        </w:rPr>
      </w:pPr>
      <w:r>
        <w:rPr>
          <w:rStyle w:val="16"/>
          <w:rFonts w:hint="eastAsia" w:ascii="宋体" w:hAnsi="宋体"/>
          <w:sz w:val="28"/>
          <w:szCs w:val="24"/>
        </w:rPr>
        <w:t>乐团年度考核制度：年度考核对“吹、拉、弹、打”四大声部、预备团员、各声部梯队及有意愿考团的学生进行综合测试。考核内容上设置规定曲目、线谱视奏、乐队困难片段三项内容按（40%、20%、40%）的分值比例综合考察团员演奏能力。现场邀请分管领导、专家团队做评委，对各声部的教学情况做一阶段性的展示和总结，发现问题及时沟通，为下一阶段教学工作计划的制定做出指导性建议。</w:t>
      </w:r>
    </w:p>
    <w:p>
      <w:pPr>
        <w:pStyle w:val="14"/>
        <w:spacing w:line="360" w:lineRule="auto"/>
        <w:ind w:firstLine="560" w:firstLineChars="200"/>
        <w:rPr>
          <w:rFonts w:ascii="宋体" w:hAnsi="宋体"/>
          <w:sz w:val="28"/>
          <w:szCs w:val="24"/>
        </w:rPr>
      </w:pPr>
      <w:r>
        <w:rPr>
          <w:rStyle w:val="16"/>
          <w:rFonts w:hint="eastAsia" w:ascii="宋体" w:hAnsi="宋体"/>
          <w:sz w:val="28"/>
          <w:szCs w:val="24"/>
        </w:rPr>
        <w:t>专家团队年度工作会议制度：每年定期召开中心领导、专家团队、中心专业教师研讨会，研讨各声部内存在的问题如教学计划、学习情况、梯队建设等等，逐一研讨，制定科学而行之有效的教学计划，为乐团的健康发展建言献策。</w:t>
      </w:r>
    </w:p>
    <w:p>
      <w:pPr>
        <w:pStyle w:val="14"/>
        <w:spacing w:line="360" w:lineRule="auto"/>
        <w:ind w:firstLine="560" w:firstLineChars="200"/>
        <w:rPr>
          <w:rFonts w:ascii="宋体" w:hAnsi="宋体"/>
          <w:sz w:val="28"/>
          <w:szCs w:val="24"/>
        </w:rPr>
      </w:pPr>
      <w:r>
        <w:rPr>
          <w:rStyle w:val="16"/>
          <w:rFonts w:hint="eastAsia" w:ascii="宋体" w:hAnsi="宋体"/>
          <w:sz w:val="28"/>
          <w:szCs w:val="24"/>
        </w:rPr>
        <w:t>年度家长会制度：每年定期召开年度家长会，加强与家长沟通，树立正确的民族器乐教学规律和学生发展规律，助力团员的专业技能和身心健康成长。</w:t>
      </w:r>
    </w:p>
    <w:p>
      <w:pPr>
        <w:pStyle w:val="14"/>
        <w:spacing w:line="360" w:lineRule="auto"/>
        <w:ind w:firstLine="560" w:firstLineChars="200"/>
        <w:rPr>
          <w:rStyle w:val="16"/>
          <w:rFonts w:ascii="宋体" w:hAnsi="宋体"/>
          <w:sz w:val="28"/>
          <w:szCs w:val="24"/>
        </w:rPr>
      </w:pPr>
      <w:r>
        <w:rPr>
          <w:rStyle w:val="16"/>
          <w:rFonts w:hint="eastAsia" w:ascii="宋体" w:hAnsi="宋体"/>
          <w:sz w:val="28"/>
          <w:szCs w:val="24"/>
        </w:rPr>
        <w:t>公平、公正评优制度：每年结合年度考核成绩，排练考勤及课堂表现，按一定比例评选乐团首席、副首席，各声部正、副声部长及年度优秀团员等荣誉，由教育局统一认证记入学生成绩档案，优中选优，激发学生学习积极性。</w:t>
      </w:r>
    </w:p>
    <w:p>
      <w:pPr>
        <w:pStyle w:val="14"/>
        <w:spacing w:line="360" w:lineRule="auto"/>
        <w:ind w:firstLine="560" w:firstLineChars="200"/>
        <w:rPr>
          <w:rFonts w:hint="eastAsia"/>
          <w:sz w:val="28"/>
        </w:rPr>
      </w:pPr>
      <w:r>
        <w:rPr>
          <w:rStyle w:val="16"/>
          <w:rFonts w:hint="eastAsia" w:ascii="宋体" w:hAnsi="宋体"/>
          <w:sz w:val="28"/>
          <w:szCs w:val="24"/>
        </w:rPr>
        <w:t>“全方位”的管理制度保障了器乐教育基础，整合了师资团队资源、优化了乐团发展的机制。今后</w:t>
      </w:r>
      <w:r>
        <w:rPr>
          <w:rFonts w:hint="eastAsia" w:ascii="宋体" w:hAnsi="宋体"/>
          <w:sz w:val="28"/>
          <w:szCs w:val="24"/>
        </w:rPr>
        <w:t>在管理制度方面还将不断探索和完善，酝酿设立乐团家委会、民乐作品曲目库等等。 </w:t>
      </w:r>
    </w:p>
    <w:p>
      <w:pPr>
        <w:pStyle w:val="18"/>
        <w:spacing w:line="360" w:lineRule="auto"/>
        <w:ind w:firstLine="301" w:firstLineChars="100"/>
        <w:rPr>
          <w:rStyle w:val="19"/>
          <w:rFonts w:ascii="宋体" w:hAnsi="宋体"/>
          <w:color w:val="000000" w:themeColor="text1"/>
          <w:sz w:val="30"/>
          <w:szCs w:val="30"/>
          <w14:textFill>
            <w14:solidFill>
              <w14:schemeClr w14:val="tx1"/>
            </w14:solidFill>
          </w14:textFill>
        </w:rPr>
      </w:pPr>
      <w:r>
        <w:rPr>
          <w:rStyle w:val="16"/>
          <w:rFonts w:hint="eastAsia" w:ascii="宋体" w:hAnsi="宋体"/>
          <w:b/>
          <w:bCs/>
          <w:color w:val="000000" w:themeColor="text1"/>
          <w:sz w:val="30"/>
          <w:szCs w:val="30"/>
          <w14:textFill>
            <w14:solidFill>
              <w14:schemeClr w14:val="tx1"/>
            </w14:solidFill>
          </w14:textFill>
        </w:rPr>
        <w:t>（二）“金字塔”教学模式</w:t>
      </w:r>
      <w:r>
        <w:rPr>
          <w:rStyle w:val="19"/>
          <w:rFonts w:hint="eastAsia" w:ascii="宋体" w:hAnsi="宋体"/>
          <w:color w:val="000000" w:themeColor="text1"/>
          <w:sz w:val="30"/>
          <w:szCs w:val="30"/>
          <w14:textFill>
            <w14:solidFill>
              <w14:schemeClr w14:val="tx1"/>
            </w14:solidFill>
          </w14:textFill>
        </w:rPr>
        <w:t> </w:t>
      </w:r>
    </w:p>
    <w:p>
      <w:pPr>
        <w:pStyle w:val="20"/>
        <w:spacing w:line="360" w:lineRule="auto"/>
        <w:ind w:firstLine="560"/>
        <w:jc w:val="left"/>
        <w:rPr>
          <w:rFonts w:ascii="宋体" w:hAnsi="宋体" w:eastAsia="宋体" w:cs="宋体"/>
          <w:color w:val="000000" w:themeColor="text1"/>
          <w:sz w:val="28"/>
          <w14:textFill>
            <w14:solidFill>
              <w14:schemeClr w14:val="tx1"/>
            </w14:solidFill>
          </w14:textFill>
        </w:rPr>
      </w:pPr>
      <w:r>
        <w:rPr>
          <w:rStyle w:val="17"/>
          <w:rFonts w:hint="eastAsia" w:ascii="宋体" w:hAnsi="宋体" w:eastAsia="宋体" w:cs="宋体"/>
          <w:sz w:val="28"/>
          <w:szCs w:val="24"/>
        </w:rPr>
        <w:t>多层培养</w:t>
      </w:r>
      <w:r>
        <w:rPr>
          <w:rStyle w:val="17"/>
          <w:rFonts w:hint="eastAsia" w:ascii="宋体" w:hAnsi="宋体" w:eastAsia="宋体" w:cs="宋体"/>
          <w:color w:val="000000" w:themeColor="text1"/>
          <w:sz w:val="28"/>
          <w:szCs w:val="24"/>
          <w14:textFill>
            <w14:solidFill>
              <w14:schemeClr w14:val="tx1"/>
            </w14:solidFill>
          </w14:textFill>
        </w:rPr>
        <w:t>，</w:t>
      </w:r>
      <w:r>
        <w:rPr>
          <w:rStyle w:val="17"/>
          <w:rFonts w:hint="eastAsia" w:ascii="宋体" w:hAnsi="宋体" w:eastAsia="宋体" w:cs="宋体"/>
          <w:sz w:val="28"/>
          <w:szCs w:val="24"/>
        </w:rPr>
        <w:t>夯实基础</w:t>
      </w:r>
      <w:r>
        <w:rPr>
          <w:rStyle w:val="17"/>
          <w:rFonts w:hint="eastAsia" w:ascii="宋体" w:hAnsi="宋体" w:eastAsia="宋体" w:cs="宋体"/>
          <w:color w:val="000000" w:themeColor="text1"/>
          <w:sz w:val="28"/>
          <w:szCs w:val="24"/>
          <w14:textFill>
            <w14:solidFill>
              <w14:schemeClr w14:val="tx1"/>
            </w14:solidFill>
          </w14:textFill>
        </w:rPr>
        <w:t>：</w:t>
      </w:r>
      <w:r>
        <w:rPr>
          <w:rFonts w:hint="eastAsia" w:ascii="宋体" w:hAnsi="宋体" w:eastAsia="宋体" w:cs="宋体"/>
          <w:color w:val="000000" w:themeColor="text1"/>
          <w:sz w:val="28"/>
          <w14:textFill>
            <w14:solidFill>
              <w14:schemeClr w14:val="tx1"/>
            </w14:solidFill>
          </w14:textFill>
        </w:rPr>
        <w:t>在基础培养阶段，对笙、琵琶等中心已有师资的专业，采取“自主培养”模式，通过中心微信公众号、教育局微信公众号面向社会进行发动，教务处统一组织面试，进行零基础培养，学制两年；对如大提琴、笛子、打击乐等专业采取“专家指导+单位管理”的模式，聘请专家团队授课，中心配备班主任管理，视情况进行招生，采取选拔制度，挑选优质的生源进行试训；对如唢呐这类冷门专业，采取“基层专项选拔、外聘零基础培养” 的模式，并进行阶段性考核；所有基础阶段学员根据学习情况参加乐团年度考核进行分流，考核优秀者可升入乐团提高班继续学习。器乐基础阶段的培养如同金字塔的底座，需要打好扎实的专业基础，</w:t>
      </w:r>
      <w:r>
        <w:rPr>
          <w:rFonts w:hint="eastAsia" w:ascii="宋体" w:hAnsi="宋体" w:eastAsia="宋体" w:cs="宋体"/>
          <w:sz w:val="28"/>
        </w:rPr>
        <w:t>更需要有各专业大量的生源不断输入做支撑。</w:t>
      </w:r>
      <w:r>
        <w:rPr>
          <w:rFonts w:hint="eastAsia" w:ascii="宋体" w:hAnsi="宋体" w:eastAsia="宋体" w:cs="宋体"/>
          <w:color w:val="000000" w:themeColor="text1"/>
          <w:sz w:val="28"/>
          <w14:textFill>
            <w14:solidFill>
              <w14:schemeClr w14:val="tx1"/>
            </w14:solidFill>
          </w14:textFill>
        </w:rPr>
        <w:t>在中心教师不断努力发展的基础上，考虑各专业的均衡发展，中心领导不断与基层学校领导积极合作，鼓励并扶持开展民乐项目，优先发展所缺专业，帮助配备优秀的民乐师资，建立区域内民乐联盟。现区级民乐联盟学校共12家，小学4所，初中（含九年一贯制）9所、高中3所，夯实基础、均衡布局。</w:t>
      </w:r>
    </w:p>
    <w:p>
      <w:pPr>
        <w:pStyle w:val="20"/>
        <w:spacing w:line="360" w:lineRule="auto"/>
        <w:ind w:firstLine="560"/>
        <w:jc w:val="left"/>
        <w:rPr>
          <w:rFonts w:ascii="宋体" w:hAnsi="宋体" w:eastAsia="宋体" w:cs="宋体"/>
          <w:color w:val="000000" w:themeColor="text1"/>
          <w:sz w:val="28"/>
          <w14:textFill>
            <w14:solidFill>
              <w14:schemeClr w14:val="tx1"/>
            </w14:solidFill>
          </w14:textFill>
        </w:rPr>
      </w:pPr>
      <w:r>
        <w:rPr>
          <w:rFonts w:hint="eastAsia" w:ascii="宋体" w:hAnsi="宋体" w:eastAsia="宋体" w:cs="宋体"/>
          <w:sz w:val="28"/>
        </w:rPr>
        <w:t>分声部提高，提升技艺：</w:t>
      </w:r>
      <w:r>
        <w:rPr>
          <w:rFonts w:hint="eastAsia" w:ascii="宋体" w:hAnsi="宋体" w:eastAsia="宋体" w:cs="宋体"/>
          <w:color w:val="000000" w:themeColor="text1"/>
          <w:sz w:val="28"/>
          <w14:textFill>
            <w14:solidFill>
              <w14:schemeClr w14:val="tx1"/>
            </w14:solidFill>
          </w14:textFill>
        </w:rPr>
        <w:t>进入提高班的学员，专家团队对专业技能提出更高要求，加入线谱教学、合奏训练，与正式团员进行分声部排练融合，逐渐适应乐团排练节奏，提升独奏、线谱视奏、合奏等综合能力，为正式入团作准备。</w:t>
      </w:r>
    </w:p>
    <w:p>
      <w:pPr>
        <w:pStyle w:val="20"/>
        <w:spacing w:line="360" w:lineRule="auto"/>
        <w:ind w:firstLine="560"/>
        <w:jc w:val="left"/>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乐队合奏，升华技艺：乐队合奏是团员演奏能力最大的挑战，不仅要独奏演奏技能娴熟，更要线谱视奏、合奏等综合能力。聘请专业指挥每周进行乐队训练，</w:t>
      </w:r>
      <w:r>
        <w:rPr>
          <w:rFonts w:hint="eastAsia" w:ascii="宋体" w:hAnsi="宋体" w:eastAsia="宋体" w:cs="宋体"/>
          <w:color w:val="000000"/>
          <w:sz w:val="28"/>
        </w:rPr>
        <w:t>精心挑选适合学生身心发展且饱含民族特色的曲目如《丝绸之路》、《春节序曲》</w:t>
      </w:r>
      <w:r>
        <w:rPr>
          <w:rFonts w:hint="eastAsia" w:ascii="宋体" w:hAnsi="宋体" w:eastAsia="宋体" w:cs="宋体"/>
          <w:color w:val="000000" w:themeColor="text1"/>
          <w:sz w:val="28"/>
          <w14:textFill>
            <w14:solidFill>
              <w14:schemeClr w14:val="tx1"/>
            </w14:solidFill>
          </w14:textFill>
        </w:rPr>
        <w:t>等。通过年度汇报，专场音乐会、各类市级、区级的展演，不断提升团员舞台表现力和艺术修养。</w:t>
      </w:r>
    </w:p>
    <w:p>
      <w:pPr>
        <w:spacing w:line="360" w:lineRule="auto"/>
        <w:ind w:firstLine="840" w:firstLineChars="300"/>
        <w:jc w:val="left"/>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drawing>
          <wp:inline distT="0" distB="0" distL="0" distR="0">
            <wp:extent cx="3484245" cy="21437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32273" cy="2172915"/>
                    </a:xfrm>
                    <a:prstGeom prst="rect">
                      <a:avLst/>
                    </a:prstGeom>
                  </pic:spPr>
                </pic:pic>
              </a:graphicData>
            </a:graphic>
          </wp:inline>
        </w:drawing>
      </w:r>
    </w:p>
    <w:p>
      <w:pPr>
        <w:spacing w:line="360" w:lineRule="auto"/>
        <w:ind w:firstLine="560" w:firstLineChars="200"/>
        <w:jc w:val="left"/>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 xml:space="preserve">“金字塔”教学模式，在教学内容设置上的环环相扣，把握器乐教学规律、注重学生身心发展。 </w:t>
      </w:r>
    </w:p>
    <w:p>
      <w:pPr>
        <w:pStyle w:val="18"/>
        <w:spacing w:line="360" w:lineRule="auto"/>
        <w:ind w:firstLine="700" w:firstLineChars="250"/>
        <w:rPr>
          <w:rStyle w:val="19"/>
          <w:rFonts w:ascii="宋体" w:hAnsi="宋体"/>
          <w:color w:val="000000" w:themeColor="text1"/>
          <w:sz w:val="28"/>
          <w:szCs w:val="24"/>
          <w14:textFill>
            <w14:solidFill>
              <w14:schemeClr w14:val="tx1"/>
            </w14:solidFill>
          </w14:textFill>
        </w:rPr>
      </w:pPr>
      <w:r>
        <w:rPr>
          <w:rFonts w:hint="eastAsia" w:ascii="宋体" w:hAnsi="宋体"/>
          <w:color w:val="000000" w:themeColor="text1"/>
          <w:sz w:val="28"/>
          <w:szCs w:val="24"/>
          <w14:textFill>
            <w14:solidFill>
              <w14:schemeClr w14:val="tx1"/>
            </w14:solidFill>
          </w14:textFill>
        </w:rPr>
        <w:t>横向上</w:t>
      </w:r>
      <w:r>
        <w:rPr>
          <w:rStyle w:val="16"/>
          <w:rFonts w:hint="eastAsia" w:ascii="宋体" w:hAnsi="宋体"/>
          <w:color w:val="000000" w:themeColor="text1"/>
          <w:sz w:val="28"/>
          <w:szCs w:val="24"/>
          <w14:textFill>
            <w14:solidFill>
              <w14:schemeClr w14:val="tx1"/>
            </w14:solidFill>
          </w14:textFill>
        </w:rPr>
        <w:t>“全方位”管理制度</w:t>
      </w:r>
      <w:r>
        <w:rPr>
          <w:rFonts w:hint="eastAsia" w:ascii="宋体" w:hAnsi="宋体"/>
          <w:color w:val="000000" w:themeColor="text1"/>
          <w:sz w:val="28"/>
          <w:szCs w:val="24"/>
          <w14:textFill>
            <w14:solidFill>
              <w14:schemeClr w14:val="tx1"/>
            </w14:solidFill>
          </w14:textFill>
        </w:rPr>
        <w:t>与纵向上</w:t>
      </w:r>
      <w:r>
        <w:rPr>
          <w:rStyle w:val="16"/>
          <w:rFonts w:hint="eastAsia" w:ascii="宋体" w:hAnsi="宋体"/>
          <w:color w:val="000000" w:themeColor="text1"/>
          <w:sz w:val="28"/>
          <w:szCs w:val="24"/>
          <w14:textFill>
            <w14:solidFill>
              <w14:schemeClr w14:val="tx1"/>
            </w14:solidFill>
          </w14:textFill>
        </w:rPr>
        <w:t>“金字塔”教学模式</w:t>
      </w:r>
      <w:r>
        <w:rPr>
          <w:rStyle w:val="19"/>
          <w:rFonts w:hint="eastAsia" w:ascii="宋体" w:hAnsi="宋体"/>
          <w:color w:val="000000" w:themeColor="text1"/>
          <w:sz w:val="28"/>
          <w:szCs w:val="24"/>
          <w14:textFill>
            <w14:solidFill>
              <w14:schemeClr w14:val="tx1"/>
            </w14:solidFill>
          </w14:textFill>
        </w:rPr>
        <w:t>，紧密结合，助力乐团的成长。</w:t>
      </w:r>
    </w:p>
    <w:p>
      <w:pPr>
        <w:pStyle w:val="18"/>
        <w:spacing w:line="360" w:lineRule="auto"/>
        <w:ind w:firstLine="602" w:firstLineChars="200"/>
        <w:rPr>
          <w:rStyle w:val="19"/>
          <w:rFonts w:ascii="宋体" w:hAnsi="宋体"/>
          <w:b/>
          <w:bCs/>
          <w:color w:val="000000" w:themeColor="text1"/>
          <w:sz w:val="30"/>
          <w:szCs w:val="30"/>
          <w14:textFill>
            <w14:solidFill>
              <w14:schemeClr w14:val="tx1"/>
            </w14:solidFill>
          </w14:textFill>
        </w:rPr>
      </w:pPr>
      <w:r>
        <w:rPr>
          <w:rStyle w:val="19"/>
          <w:rFonts w:hint="eastAsia" w:ascii="宋体" w:hAnsi="宋体"/>
          <w:b/>
          <w:bCs/>
          <w:color w:val="000000" w:themeColor="text1"/>
          <w:sz w:val="30"/>
          <w:szCs w:val="30"/>
          <w14:textFill>
            <w14:solidFill>
              <w14:schemeClr w14:val="tx1"/>
            </w14:solidFill>
          </w14:textFill>
        </w:rPr>
        <w:t>三、探索中的民乐“云教学 ”</w:t>
      </w:r>
    </w:p>
    <w:p>
      <w:pPr>
        <w:pStyle w:val="18"/>
        <w:spacing w:line="360" w:lineRule="auto"/>
        <w:ind w:firstLine="560" w:firstLineChars="200"/>
        <w:rPr>
          <w:rStyle w:val="19"/>
          <w:rFonts w:ascii="宋体" w:hAnsi="宋体"/>
          <w:color w:val="000000" w:themeColor="text1"/>
          <w:sz w:val="28"/>
          <w:szCs w:val="24"/>
          <w14:textFill>
            <w14:solidFill>
              <w14:schemeClr w14:val="tx1"/>
            </w14:solidFill>
          </w14:textFill>
        </w:rPr>
      </w:pPr>
      <w:r>
        <w:rPr>
          <w:rStyle w:val="19"/>
          <w:rFonts w:hint="eastAsia" w:ascii="宋体" w:hAnsi="宋体"/>
          <w:color w:val="000000" w:themeColor="text1"/>
          <w:sz w:val="28"/>
          <w:szCs w:val="24"/>
          <w14:textFill>
            <w14:solidFill>
              <w14:schemeClr w14:val="tx1"/>
            </w14:solidFill>
          </w14:textFill>
        </w:rPr>
        <w:t>《上海市教育改革和发展“十三五”规划》要求，2020年上海将率先实现教育现代化，民族器乐教育也在不断的在探索中发展着，在2020开年的特殊时期，“云享民乐”课堂、网上教学也加入了乐团的教学工作中。微课《民族管弦乐中的吹、拉、弹、打》为团员普及民族管弦乐队的知识；微信回课响应“停课不停学”的号召为监督团员宅家练习；AgoraVideoCall进行一对一、一对多的高清视频教学，查漏补缺；共享上海艺术云学堂优质民乐在线教学资源，聆听现阶段乐团排练作品，提升民乐艺术审美。今后将不断的探索和</w:t>
      </w:r>
      <w:r>
        <w:rPr>
          <w:rFonts w:hint="eastAsia" w:ascii="宋体" w:hAnsi="宋体"/>
          <w:color w:val="3E3E3E"/>
          <w:spacing w:val="23"/>
          <w:sz w:val="28"/>
          <w:szCs w:val="24"/>
          <w:shd w:val="clear" w:color="auto" w:fill="FFFFFF"/>
        </w:rPr>
        <w:t>创新</w:t>
      </w:r>
      <w:r>
        <w:rPr>
          <w:rStyle w:val="19"/>
          <w:rFonts w:hint="eastAsia" w:ascii="宋体" w:hAnsi="宋体"/>
          <w:color w:val="000000" w:themeColor="text1"/>
          <w:sz w:val="28"/>
          <w:szCs w:val="24"/>
          <w14:textFill>
            <w14:solidFill>
              <w14:schemeClr w14:val="tx1"/>
            </w14:solidFill>
          </w14:textFill>
        </w:rPr>
        <w:t>民族器乐教育方式。</w:t>
      </w:r>
    </w:p>
    <w:p>
      <w:pPr>
        <w:pStyle w:val="18"/>
        <w:spacing w:line="360" w:lineRule="auto"/>
        <w:rPr>
          <w:rFonts w:ascii="宋体" w:hAnsi="宋体"/>
          <w:color w:val="000000" w:themeColor="text1"/>
          <w:sz w:val="28"/>
          <w:szCs w:val="24"/>
          <w14:textFill>
            <w14:solidFill>
              <w14:schemeClr w14:val="tx1"/>
            </w14:solidFill>
          </w14:textFill>
        </w:rPr>
      </w:pPr>
    </w:p>
    <w:p>
      <w:pPr>
        <w:pStyle w:val="14"/>
        <w:spacing w:line="360" w:lineRule="auto"/>
        <w:ind w:firstLine="753" w:firstLineChars="250"/>
        <w:rPr>
          <w:rFonts w:ascii="宋体" w:hAnsi="宋体"/>
          <w:color w:val="000000" w:themeColor="text1"/>
          <w:sz w:val="30"/>
          <w:szCs w:val="30"/>
          <w14:textFill>
            <w14:solidFill>
              <w14:schemeClr w14:val="tx1"/>
            </w14:solidFill>
          </w14:textFill>
        </w:rPr>
      </w:pPr>
      <w:r>
        <w:rPr>
          <w:rFonts w:hint="eastAsia" w:ascii="宋体" w:hAnsi="宋体"/>
          <w:b/>
          <w:bCs/>
          <w:color w:val="000000" w:themeColor="text1"/>
          <w:sz w:val="30"/>
          <w:szCs w:val="30"/>
          <w14:textFill>
            <w14:solidFill>
              <w14:schemeClr w14:val="tx1"/>
            </w14:solidFill>
          </w14:textFill>
        </w:rPr>
        <w:t>研究小结</w:t>
      </w:r>
    </w:p>
    <w:p>
      <w:pPr>
        <w:pStyle w:val="14"/>
        <w:spacing w:line="360" w:lineRule="auto"/>
        <w:ind w:firstLine="700" w:firstLineChars="250"/>
        <w:rPr>
          <w:rFonts w:ascii="宋体" w:hAnsi="宋体"/>
          <w:sz w:val="28"/>
          <w:szCs w:val="24"/>
        </w:rPr>
      </w:pPr>
      <w:r>
        <w:rPr>
          <w:rFonts w:hint="eastAsia" w:ascii="宋体" w:hAnsi="宋体"/>
          <w:sz w:val="28"/>
          <w:szCs w:val="24"/>
        </w:rPr>
        <w:t>近年来，奉贤区学生民族乐团在中心的“四院一团一部”的总体架构下不断的转型发展。乐团的发展可谓是筚路蓝缕，中心民乐骨干教师攻坚克难、不忘初心，克服远郊地区民乐师资匮乏，教学水平层次不齐等问题，从13年建团到至今，专业素质飞速提升，基本建立了一个编制较齐全的民族管弦乐团，多次在重大活动中崭露头角，2015年、2017年在上海音乐厅、奉贤中学举办专场音乐会；获第十三届、十五届“长三角”民族乐团展演优秀演奏奖；入选上海市民乐联盟单位；打击乐分团荣获2017年IPEA上海赛区金奖。乐团的发展得到了市里、区里民乐专家及同行的高度赞扬，成为了上海远郊地区学生民族乐团的一股强有力的新生力量。</w:t>
      </w:r>
    </w:p>
    <w:p>
      <w:pPr>
        <w:pStyle w:val="14"/>
        <w:spacing w:line="360" w:lineRule="auto"/>
        <w:ind w:firstLine="700" w:firstLineChars="250"/>
        <w:rPr>
          <w:rFonts w:ascii="宋体" w:hAnsi="宋体"/>
          <w:kern w:val="2"/>
          <w:sz w:val="28"/>
          <w:szCs w:val="24"/>
        </w:rPr>
      </w:pPr>
      <w:r>
        <w:rPr>
          <w:rFonts w:hint="eastAsia" w:ascii="宋体" w:hAnsi="宋体"/>
          <w:sz w:val="28"/>
          <w:szCs w:val="24"/>
        </w:rPr>
        <w:t>通过对奉贤区学生民族乐团的</w:t>
      </w:r>
      <w:r>
        <w:rPr>
          <w:rFonts w:hint="eastAsia" w:ascii="宋体" w:hAnsi="宋体"/>
          <w:kern w:val="2"/>
          <w:sz w:val="28"/>
          <w:szCs w:val="24"/>
        </w:rPr>
        <w:t>发展模式的探索总结，为学生民族乐团的可持续发展模式提供一些宝贵经验；为上海市远郊同类型的校外教育机构民族器乐教育的良性发展提供个案参考。在新形势下不断探索创新，始终把“立德树人”的指导思想与社会主义核心价值观渗透到民族器乐教育的全过程中，为民族器乐和民族文化的传承与发展贡献基层的力量。</w:t>
      </w:r>
    </w:p>
    <w:p>
      <w:pPr>
        <w:rPr>
          <w:rFonts w:ascii="宋体" w:hAnsi="宋体" w:eastAsia="宋体" w:cs="宋体"/>
          <w:sz w:val="28"/>
        </w:rPr>
      </w:pPr>
    </w:p>
    <w:p>
      <w:pPr>
        <w:rPr>
          <w:rFonts w:ascii="宋体" w:hAnsi="宋体" w:eastAsia="宋体" w:cs="宋体"/>
          <w:sz w:val="24"/>
        </w:rPr>
      </w:pPr>
    </w:p>
    <w:p/>
    <w:p>
      <w:pPr>
        <w:widowControl/>
        <w:jc w:val="left"/>
        <w:rPr>
          <w:rFonts w:ascii="Arial" w:hAnsi="Arial" w:eastAsia="宋体" w:cs="Arial"/>
          <w:color w:val="000000" w:themeColor="text1"/>
          <w:kern w:val="0"/>
          <w:szCs w:val="21"/>
          <w:shd w:val="clear" w:color="auto" w:fill="FFFFFF"/>
          <w14:textFill>
            <w14:solidFill>
              <w14:schemeClr w14:val="tx1"/>
            </w14:solidFill>
          </w14:textFill>
        </w:rPr>
      </w:pPr>
      <w:r>
        <w:rPr>
          <w:rFonts w:hint="eastAsia" w:ascii="Arial" w:hAnsi="Arial" w:eastAsia="宋体" w:cs="Arial"/>
          <w:color w:val="000000" w:themeColor="text1"/>
          <w:kern w:val="0"/>
          <w:szCs w:val="21"/>
          <w:shd w:val="clear" w:color="auto" w:fill="FFFFFF"/>
          <w14:textFill>
            <w14:solidFill>
              <w14:schemeClr w14:val="tx1"/>
            </w14:solidFill>
          </w14:textFill>
        </w:rPr>
        <w:t>参考文献：</w:t>
      </w:r>
    </w:p>
    <w:p>
      <w:pPr>
        <w:widowControl/>
        <w:jc w:val="left"/>
        <w:rPr>
          <w:rFonts w:ascii="Arial" w:hAnsi="Arial" w:eastAsia="宋体" w:cs="Arial"/>
          <w:color w:val="000000" w:themeColor="text1"/>
          <w:kern w:val="0"/>
          <w:szCs w:val="21"/>
          <w:shd w:val="clear" w:color="auto" w:fill="FFFFFF"/>
          <w14:textFill>
            <w14:solidFill>
              <w14:schemeClr w14:val="tx1"/>
            </w14:solidFill>
          </w14:textFill>
        </w:rPr>
      </w:pPr>
      <w:r>
        <w:rPr>
          <w:rFonts w:ascii="Arial" w:hAnsi="Arial" w:eastAsia="宋体" w:cs="Arial"/>
          <w:color w:val="000000" w:themeColor="text1"/>
          <w:kern w:val="0"/>
          <w:szCs w:val="21"/>
          <w:shd w:val="clear" w:color="auto" w:fill="FFFFFF"/>
          <w14:textFill>
            <w14:solidFill>
              <w14:schemeClr w14:val="tx1"/>
            </w14:solidFill>
          </w14:textFill>
        </w:rPr>
        <w:t>[1]陈瑱璇</w:t>
      </w:r>
      <w:r>
        <w:rPr>
          <w:rFonts w:hint="eastAsia" w:ascii="Arial" w:hAnsi="Arial" w:eastAsia="宋体" w:cs="Arial"/>
          <w:color w:val="000000" w:themeColor="text1"/>
          <w:kern w:val="0"/>
          <w:szCs w:val="21"/>
          <w:shd w:val="clear" w:color="auto" w:fill="FFFFFF"/>
          <w14:textFill>
            <w14:solidFill>
              <w14:schemeClr w14:val="tx1"/>
            </w14:solidFill>
          </w14:textFill>
        </w:rPr>
        <w:t>，《</w:t>
      </w:r>
      <w:r>
        <w:rPr>
          <w:rFonts w:ascii="Arial" w:hAnsi="Arial" w:eastAsia="宋体" w:cs="Arial"/>
          <w:color w:val="000000" w:themeColor="text1"/>
          <w:kern w:val="0"/>
          <w:szCs w:val="21"/>
          <w:shd w:val="clear" w:color="auto" w:fill="FFFFFF"/>
          <w14:textFill>
            <w14:solidFill>
              <w14:schemeClr w14:val="tx1"/>
            </w14:solidFill>
          </w14:textFill>
        </w:rPr>
        <w:t>上海市中小学校外民族器乐教育的调查研究</w:t>
      </w:r>
      <w:r>
        <w:rPr>
          <w:rFonts w:hint="eastAsia" w:ascii="Arial" w:hAnsi="Arial" w:eastAsia="宋体" w:cs="Arial"/>
          <w:color w:val="000000" w:themeColor="text1"/>
          <w:kern w:val="0"/>
          <w:szCs w:val="21"/>
          <w:shd w:val="clear" w:color="auto" w:fill="FFFFFF"/>
          <w14:textFill>
            <w14:solidFill>
              <w14:schemeClr w14:val="tx1"/>
            </w14:solidFill>
          </w14:textFill>
        </w:rPr>
        <w:t>》</w:t>
      </w:r>
      <w:r>
        <w:rPr>
          <w:rFonts w:ascii="Arial" w:hAnsi="Arial" w:eastAsia="宋体" w:cs="Arial"/>
          <w:color w:val="000000" w:themeColor="text1"/>
          <w:kern w:val="0"/>
          <w:szCs w:val="21"/>
          <w:shd w:val="clear" w:color="auto" w:fill="FFFFFF"/>
          <w14:textFill>
            <w14:solidFill>
              <w14:schemeClr w14:val="tx1"/>
            </w14:solidFill>
          </w14:textFill>
        </w:rPr>
        <w:t>[D]</w:t>
      </w:r>
      <w:r>
        <w:rPr>
          <w:rFonts w:hint="eastAsia" w:ascii="Arial" w:hAnsi="Arial" w:eastAsia="宋体" w:cs="Arial"/>
          <w:color w:val="000000" w:themeColor="text1"/>
          <w:kern w:val="0"/>
          <w:szCs w:val="21"/>
          <w:shd w:val="clear" w:color="auto" w:fill="FFFFFF"/>
          <w14:textFill>
            <w14:solidFill>
              <w14:schemeClr w14:val="tx1"/>
            </w14:solidFill>
          </w14:textFill>
        </w:rPr>
        <w:t>，上海师范大学教育管理硕士学位论文</w:t>
      </w:r>
      <w:r>
        <w:rPr>
          <w:rFonts w:ascii="Arial" w:hAnsi="Arial" w:eastAsia="宋体" w:cs="Arial"/>
          <w:color w:val="000000" w:themeColor="text1"/>
          <w:kern w:val="0"/>
          <w:szCs w:val="21"/>
          <w:shd w:val="clear" w:color="auto" w:fill="FFFFFF"/>
          <w14:textFill>
            <w14:solidFill>
              <w14:schemeClr w14:val="tx1"/>
            </w14:solidFill>
          </w14:textFill>
        </w:rPr>
        <w:t>,2014</w:t>
      </w:r>
      <w:r>
        <w:rPr>
          <w:rFonts w:hint="eastAsia" w:ascii="Arial" w:hAnsi="Arial" w:eastAsia="宋体" w:cs="Arial"/>
          <w:color w:val="000000" w:themeColor="text1"/>
          <w:kern w:val="0"/>
          <w:szCs w:val="21"/>
          <w:shd w:val="clear" w:color="auto" w:fill="FFFFFF"/>
          <w14:textFill>
            <w14:solidFill>
              <w14:schemeClr w14:val="tx1"/>
            </w14:solidFill>
          </w14:textFill>
        </w:rPr>
        <w:t>年5月。</w:t>
      </w:r>
    </w:p>
    <w:p>
      <w:pPr>
        <w:widowControl/>
        <w:jc w:val="left"/>
        <w:rPr>
          <w:rFonts w:ascii="宋体" w:hAnsi="宋体" w:eastAsia="宋体" w:cs="宋体"/>
          <w:color w:val="000000" w:themeColor="text1"/>
          <w:kern w:val="0"/>
          <w:sz w:val="24"/>
          <w14:textFill>
            <w14:solidFill>
              <w14:schemeClr w14:val="tx1"/>
            </w14:solidFill>
          </w14:textFill>
        </w:rPr>
      </w:pPr>
      <w:r>
        <w:rPr>
          <w:rFonts w:ascii="Arial" w:hAnsi="Arial" w:eastAsia="宋体" w:cs="Arial"/>
          <w:color w:val="000000" w:themeColor="text1"/>
          <w:kern w:val="0"/>
          <w:szCs w:val="21"/>
          <w:shd w:val="clear" w:color="auto" w:fill="FFFFFF"/>
          <w14:textFill>
            <w14:solidFill>
              <w14:schemeClr w14:val="tx1"/>
            </w14:solidFill>
          </w14:textFill>
        </w:rPr>
        <w:t>[2]李逊芳</w:t>
      </w:r>
      <w:r>
        <w:rPr>
          <w:rFonts w:hint="eastAsia" w:ascii="Arial" w:hAnsi="Arial" w:eastAsia="宋体" w:cs="Arial"/>
          <w:color w:val="000000" w:themeColor="text1"/>
          <w:kern w:val="0"/>
          <w:szCs w:val="21"/>
          <w:shd w:val="clear" w:color="auto" w:fill="FFFFFF"/>
          <w14:textFill>
            <w14:solidFill>
              <w14:schemeClr w14:val="tx1"/>
            </w14:solidFill>
          </w14:textFill>
        </w:rPr>
        <w:t>，《</w:t>
      </w:r>
      <w:r>
        <w:rPr>
          <w:rFonts w:ascii="Arial" w:hAnsi="Arial" w:eastAsia="宋体" w:cs="Arial"/>
          <w:color w:val="000000" w:themeColor="text1"/>
          <w:kern w:val="0"/>
          <w:szCs w:val="21"/>
          <w:shd w:val="clear" w:color="auto" w:fill="FFFFFF"/>
          <w14:textFill>
            <w14:solidFill>
              <w14:schemeClr w14:val="tx1"/>
            </w14:solidFill>
          </w14:textFill>
        </w:rPr>
        <w:t>上海市杨浦区学校民族器乐教育实践研究</w:t>
      </w:r>
      <w:r>
        <w:rPr>
          <w:rFonts w:hint="eastAsia" w:ascii="Arial" w:hAnsi="Arial" w:eastAsia="宋体" w:cs="Arial"/>
          <w:color w:val="000000" w:themeColor="text1"/>
          <w:kern w:val="0"/>
          <w:szCs w:val="21"/>
          <w:shd w:val="clear" w:color="auto" w:fill="FFFFFF"/>
          <w14:textFill>
            <w14:solidFill>
              <w14:schemeClr w14:val="tx1"/>
            </w14:solidFill>
          </w14:textFill>
        </w:rPr>
        <w:t>》</w:t>
      </w:r>
      <w:r>
        <w:rPr>
          <w:rFonts w:ascii="Arial" w:hAnsi="Arial" w:eastAsia="宋体" w:cs="Arial"/>
          <w:color w:val="000000" w:themeColor="text1"/>
          <w:kern w:val="0"/>
          <w:szCs w:val="21"/>
          <w:shd w:val="clear" w:color="auto" w:fill="FFFFFF"/>
          <w14:textFill>
            <w14:solidFill>
              <w14:schemeClr w14:val="tx1"/>
            </w14:solidFill>
          </w14:textFill>
        </w:rPr>
        <w:t>[D]</w:t>
      </w:r>
      <w:r>
        <w:rPr>
          <w:rFonts w:hint="eastAsia" w:ascii="Arial" w:hAnsi="Arial" w:eastAsia="宋体" w:cs="Arial"/>
          <w:color w:val="000000" w:themeColor="text1"/>
          <w:kern w:val="0"/>
          <w:szCs w:val="21"/>
          <w:shd w:val="clear" w:color="auto" w:fill="FFFFFF"/>
          <w14:textFill>
            <w14:solidFill>
              <w14:schemeClr w14:val="tx1"/>
            </w14:solidFill>
          </w14:textFill>
        </w:rPr>
        <w:t>，</w:t>
      </w:r>
      <w:r>
        <w:rPr>
          <w:rFonts w:ascii="Arial" w:hAnsi="Arial" w:eastAsia="宋体" w:cs="Arial"/>
          <w:color w:val="000000" w:themeColor="text1"/>
          <w:kern w:val="0"/>
          <w:szCs w:val="21"/>
          <w:shd w:val="clear" w:color="auto" w:fill="FFFFFF"/>
          <w14:textFill>
            <w14:solidFill>
              <w14:schemeClr w14:val="tx1"/>
            </w14:solidFill>
          </w14:textFill>
        </w:rPr>
        <w:t>华东师范大学</w:t>
      </w:r>
      <w:r>
        <w:rPr>
          <w:rFonts w:hint="eastAsia" w:ascii="Arial" w:hAnsi="Arial" w:eastAsia="宋体" w:cs="Arial"/>
          <w:color w:val="000000" w:themeColor="text1"/>
          <w:kern w:val="0"/>
          <w:szCs w:val="21"/>
          <w:shd w:val="clear" w:color="auto" w:fill="FFFFFF"/>
          <w14:textFill>
            <w14:solidFill>
              <w14:schemeClr w14:val="tx1"/>
            </w14:solidFill>
          </w14:textFill>
        </w:rPr>
        <w:t>音乐教育硕士学位论文</w:t>
      </w:r>
      <w:r>
        <w:rPr>
          <w:rFonts w:ascii="Arial" w:hAnsi="Arial" w:eastAsia="宋体" w:cs="Arial"/>
          <w:color w:val="000000" w:themeColor="text1"/>
          <w:kern w:val="0"/>
          <w:szCs w:val="21"/>
          <w:shd w:val="clear" w:color="auto" w:fill="FFFFFF"/>
          <w14:textFill>
            <w14:solidFill>
              <w14:schemeClr w14:val="tx1"/>
            </w14:solidFill>
          </w14:textFill>
        </w:rPr>
        <w:t>,2010</w:t>
      </w:r>
      <w:r>
        <w:rPr>
          <w:rFonts w:hint="eastAsia" w:ascii="Arial" w:hAnsi="Arial" w:eastAsia="宋体" w:cs="Arial"/>
          <w:color w:val="000000" w:themeColor="text1"/>
          <w:kern w:val="0"/>
          <w:szCs w:val="21"/>
          <w:shd w:val="clear" w:color="auto" w:fill="FFFFFF"/>
          <w14:textFill>
            <w14:solidFill>
              <w14:schemeClr w14:val="tx1"/>
            </w14:solidFill>
          </w14:textFill>
        </w:rPr>
        <w:t>年1</w:t>
      </w:r>
      <w:r>
        <w:rPr>
          <w:rFonts w:ascii="Arial" w:hAnsi="Arial" w:eastAsia="宋体" w:cs="Arial"/>
          <w:color w:val="000000" w:themeColor="text1"/>
          <w:kern w:val="0"/>
          <w:szCs w:val="21"/>
          <w:shd w:val="clear" w:color="auto" w:fill="FFFFFF"/>
          <w14:textFill>
            <w14:solidFill>
              <w14:schemeClr w14:val="tx1"/>
            </w14:solidFill>
          </w14:textFill>
        </w:rPr>
        <w:t>1</w:t>
      </w:r>
      <w:r>
        <w:rPr>
          <w:rFonts w:hint="eastAsia" w:ascii="Arial" w:hAnsi="Arial" w:eastAsia="宋体" w:cs="Arial"/>
          <w:color w:val="000000" w:themeColor="text1"/>
          <w:kern w:val="0"/>
          <w:szCs w:val="21"/>
          <w:shd w:val="clear" w:color="auto" w:fill="FFFFFF"/>
          <w14:textFill>
            <w14:solidFill>
              <w14:schemeClr w14:val="tx1"/>
            </w14:solidFill>
          </w14:textFill>
        </w:rPr>
        <w:t>月。</w:t>
      </w:r>
    </w:p>
    <w:p/>
    <w:p/>
    <w:p>
      <w:pPr>
        <w:rPr>
          <w:rFonts w:ascii="Songti SC" w:hAnsi="Songti SC" w:eastAsia="Songti SC"/>
          <w:sz w:val="28"/>
        </w:rPr>
      </w:pPr>
      <w:r>
        <w:rPr>
          <w:rFonts w:hint="eastAsia" w:ascii="Songti SC" w:hAnsi="Songti SC" w:eastAsia="Songti SC"/>
          <w:sz w:val="28"/>
        </w:rPr>
        <w:t>本文交流于2</w:t>
      </w:r>
      <w:r>
        <w:rPr>
          <w:rFonts w:ascii="Songti SC" w:hAnsi="Songti SC" w:eastAsia="Songti SC"/>
          <w:sz w:val="28"/>
        </w:rPr>
        <w:t>021</w:t>
      </w:r>
      <w:r>
        <w:rPr>
          <w:rFonts w:hint="eastAsia" w:ascii="Songti SC" w:hAnsi="Songti SC" w:eastAsia="Songti SC"/>
          <w:sz w:val="28"/>
        </w:rPr>
        <w:t>年1</w:t>
      </w:r>
      <w:r>
        <w:rPr>
          <w:rFonts w:ascii="Songti SC" w:hAnsi="Songti SC" w:eastAsia="Songti SC"/>
          <w:sz w:val="28"/>
        </w:rPr>
        <w:t>0</w:t>
      </w:r>
      <w:r>
        <w:rPr>
          <w:rFonts w:hint="eastAsia" w:ascii="Songti SC" w:hAnsi="Songti SC" w:eastAsia="Songti SC"/>
          <w:sz w:val="28"/>
        </w:rPr>
        <w:t>月1</w:t>
      </w:r>
      <w:r>
        <w:rPr>
          <w:rFonts w:ascii="Songti SC" w:hAnsi="Songti SC" w:eastAsia="Songti SC"/>
          <w:sz w:val="28"/>
        </w:rPr>
        <w:t>4</w:t>
      </w:r>
      <w:r>
        <w:rPr>
          <w:rFonts w:hint="eastAsia" w:ascii="Songti SC" w:hAnsi="Songti SC" w:eastAsia="Songti SC"/>
          <w:sz w:val="28"/>
        </w:rPr>
        <w:t>日</w:t>
      </w:r>
    </w:p>
    <w:sectPr>
      <w:footerReference r:id="rId4" w:type="default"/>
      <w:footerReference r:id="rId5" w:type="even"/>
      <w:pgSz w:w="11900" w:h="16840"/>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ppleSimplifiedChineseFont">
    <w:altName w:val="Cambria"/>
    <w:panose1 w:val="020B0604020202020204"/>
    <w:charset w:val="00"/>
    <w:family w:val="roman"/>
    <w:pitch w:val="default"/>
    <w:sig w:usb0="00000000" w:usb1="00000000" w:usb2="00000000" w:usb3="00000000" w:csb0="00000000" w:csb1="00000000"/>
  </w:font>
  <w:font w:name=".AppleSystemUIFont">
    <w:altName w:val="Cambria"/>
    <w:panose1 w:val="020B0604020202020204"/>
    <w:charset w:val="00"/>
    <w:family w:val="roman"/>
    <w:pitch w:val="default"/>
    <w:sig w:usb0="00000000" w:usb1="00000000" w:usb2="00000000" w:usb3="00000000" w:csb0="00000000" w:csb1="00000000"/>
  </w:font>
  <w:font w:name=".PingFangSC-Regular">
    <w:altName w:val="Cambria"/>
    <w:panose1 w:val="020B0604020202020204"/>
    <w:charset w:val="00"/>
    <w:family w:val="roman"/>
    <w:pitch w:val="default"/>
    <w:sig w:usb0="00000000" w:usb1="00000000" w:usb2="00000000" w:usb3="00000000" w:csb0="00000000" w:csb1="00000000"/>
  </w:font>
  <w:font w:name=".SFUI-Regular">
    <w:altName w:val="Cambria"/>
    <w:panose1 w:val="020B0604020202020204"/>
    <w:charset w:val="00"/>
    <w:family w:val="roman"/>
    <w:pitch w:val="default"/>
    <w:sig w:usb0="00000000" w:usb1="00000000" w:usb2="00000000" w:usb3="00000000" w:csb0="00000000" w:csb1="00000000"/>
  </w:font>
  <w:font w:name="Songti SC">
    <w:altName w:val="宋体"/>
    <w:panose1 w:val="02010600040101010101"/>
    <w:charset w:val="86"/>
    <w:family w:val="auto"/>
    <w:pitch w:val="default"/>
    <w:sig w:usb0="00000000" w:usb1="00000000" w:usb2="00000010" w:usb3="00000000" w:csb0="0004009F"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auto"/>
    <w:pitch w:val="default"/>
    <w:sig w:usb0="A00002EF" w:usb1="40000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9"/>
      </w:rPr>
      <w:id w:val="-1284034563"/>
      <w:docPartObj>
        <w:docPartGallery w:val="autotext"/>
      </w:docPartObj>
    </w:sdtPr>
    <w:sdtEndPr>
      <w:rPr>
        <w:rStyle w:val="9"/>
      </w:rPr>
    </w:sdtEndPr>
    <w:sdtContent>
      <w:p>
        <w:pPr>
          <w:pStyle w:val="4"/>
          <w:framePr w:wrap="around" w:vAnchor="text" w:hAnchor="margin" w:xAlign="center" w:y="1"/>
          <w:rPr>
            <w:rStyle w:val="9"/>
          </w:rPr>
        </w:pPr>
        <w:r>
          <w:rPr>
            <w:rStyle w:val="9"/>
          </w:rPr>
          <w:fldChar w:fldCharType="begin"/>
        </w:r>
        <w:r>
          <w:rPr>
            <w:rStyle w:val="9"/>
          </w:rPr>
          <w:instrText xml:space="preserve"> PAGE </w:instrText>
        </w:r>
        <w:r>
          <w:rPr>
            <w:rStyle w:val="9"/>
          </w:rPr>
          <w:fldChar w:fldCharType="separate"/>
        </w:r>
        <w:r>
          <w:rPr>
            <w:rStyle w:val="9"/>
          </w:rPr>
          <w:t>1</w:t>
        </w:r>
        <w:r>
          <w:rPr>
            <w:rStyle w:val="9"/>
          </w:rP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9"/>
      </w:rPr>
      <w:id w:val="-47077227"/>
      <w:docPartObj>
        <w:docPartGallery w:val="autotext"/>
      </w:docPartObj>
    </w:sdtPr>
    <w:sdtEndPr>
      <w:rPr>
        <w:rStyle w:val="9"/>
      </w:rPr>
    </w:sdtEndPr>
    <w:sdtContent>
      <w:p>
        <w:pPr>
          <w:pStyle w:val="4"/>
          <w:framePr w:wrap="around" w:vAnchor="text" w:hAnchor="margin" w:xAlign="center" w:y="1"/>
          <w:rPr>
            <w:rStyle w:val="9"/>
          </w:rPr>
        </w:pPr>
        <w:r>
          <w:rPr>
            <w:rStyle w:val="9"/>
          </w:rPr>
          <w:fldChar w:fldCharType="begin"/>
        </w:r>
        <w:r>
          <w:rPr>
            <w:rStyle w:val="9"/>
          </w:rPr>
          <w:instrText xml:space="preserve"> PAGE </w:instrText>
        </w:r>
        <w:r>
          <w:rPr>
            <w:rStyle w:val="9"/>
          </w:rPr>
          <w:fldChar w:fldCharType="end"/>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5"/>
      </w:pPr>
      <w:r>
        <w:rPr>
          <w:rStyle w:val="13"/>
        </w:rPr>
        <w:footnoteRef/>
      </w:r>
      <w:r>
        <w:t xml:space="preserve"> </w:t>
      </w:r>
      <w:r>
        <w:rPr>
          <w:rFonts w:hint="eastAsia" w:ascii="Songti SC" w:hAnsi="Songti SC" w:eastAsia="Songti SC"/>
          <w:color w:val="000000" w:themeColor="text1"/>
          <w14:textFill>
            <w14:solidFill>
              <w14:schemeClr w14:val="tx1"/>
            </w14:solidFill>
          </w14:textFill>
        </w:rPr>
        <w:t>习近平主席于2</w:t>
      </w:r>
      <w:r>
        <w:rPr>
          <w:rFonts w:ascii="Songti SC" w:hAnsi="Songti SC" w:eastAsia="Songti SC"/>
          <w:color w:val="000000" w:themeColor="text1"/>
          <w14:textFill>
            <w14:solidFill>
              <w14:schemeClr w14:val="tx1"/>
            </w14:solidFill>
          </w14:textFill>
        </w:rPr>
        <w:t>018年09月10日</w:t>
      </w:r>
      <w:r>
        <w:rPr>
          <w:rFonts w:hint="eastAsia" w:ascii="Songti SC" w:hAnsi="Songti SC" w:eastAsia="Songti SC"/>
          <w:color w:val="000000" w:themeColor="text1"/>
          <w14:textFill>
            <w14:solidFill>
              <w14:schemeClr w14:val="tx1"/>
            </w14:solidFill>
          </w14:textFill>
        </w:rPr>
        <w:t>在全国教育大会上发表讲话：</w:t>
      </w:r>
      <w:r>
        <w:fldChar w:fldCharType="begin"/>
      </w:r>
      <w:r>
        <w:instrText xml:space="preserve"> HYPERLINK "http://www.moe.gov.cn/jyb_xwfb/s6052/moe_838/201809/t20180910_348145.html" </w:instrText>
      </w:r>
      <w:r>
        <w:fldChar w:fldCharType="separate"/>
      </w:r>
      <w:r>
        <w:rPr>
          <w:rStyle w:val="11"/>
          <w:rFonts w:ascii="Songti SC" w:hAnsi="Songti SC" w:eastAsia="Songti SC"/>
        </w:rPr>
        <w:t>http://www.moe.gov.cn/jyb_xwfb/s6052/moe_838/201809/t20180910_348145.html</w:t>
      </w:r>
      <w:r>
        <w:rPr>
          <w:rStyle w:val="11"/>
          <w:rFonts w:ascii="Songti SC" w:hAnsi="Songti SC" w:eastAsia="Songti SC"/>
        </w:rPr>
        <w:fldChar w:fldCharType="end"/>
      </w:r>
      <w:r>
        <w:rPr>
          <w:rFonts w:hint="eastAsia" w:ascii="Songti SC" w:hAnsi="Songti SC" w:eastAsia="Songti SC"/>
          <w:color w:val="000000" w:themeColor="text1"/>
          <w14:textFill>
            <w14:solidFill>
              <w14:schemeClr w14:val="tx1"/>
            </w14:solidFill>
          </w14:textFill>
        </w:rPr>
        <w:t>，2</w:t>
      </w:r>
      <w:r>
        <w:rPr>
          <w:rFonts w:ascii="Songti SC" w:hAnsi="Songti SC" w:eastAsia="Songti SC"/>
          <w:color w:val="000000" w:themeColor="text1"/>
          <w14:textFill>
            <w14:solidFill>
              <w14:schemeClr w14:val="tx1"/>
            </w14:solidFill>
          </w14:textFill>
        </w:rPr>
        <w:t>010</w:t>
      </w:r>
      <w:r>
        <w:rPr>
          <w:rFonts w:hint="eastAsia" w:ascii="Songti SC" w:hAnsi="Songti SC" w:eastAsia="Songti SC"/>
          <w:color w:val="000000" w:themeColor="text1"/>
          <w14:textFill>
            <w14:solidFill>
              <w14:schemeClr w14:val="tx1"/>
            </w14:solidFill>
          </w14:textFill>
        </w:rPr>
        <w:t>年3月1日。</w:t>
      </w:r>
    </w:p>
  </w:footnote>
  <w:footnote w:id="1">
    <w:p>
      <w:pPr>
        <w:pStyle w:val="5"/>
      </w:pPr>
      <w:r>
        <w:rPr>
          <w:rStyle w:val="13"/>
        </w:rPr>
        <w:footnoteRef/>
      </w:r>
      <w:r>
        <w:t xml:space="preserve"> </w:t>
      </w:r>
      <w:r>
        <w:rPr>
          <w:rFonts w:hint="eastAsia"/>
        </w:rPr>
        <w:t>参见</w:t>
      </w:r>
      <w:r>
        <w:rPr>
          <w:rFonts w:ascii="Arial" w:hAnsi="Arial" w:eastAsia="宋体" w:cs="Arial"/>
          <w:color w:val="333333"/>
          <w:kern w:val="0"/>
          <w:szCs w:val="21"/>
          <w:shd w:val="clear" w:color="auto" w:fill="FFFFFF"/>
        </w:rPr>
        <w:t>陈瑱璇</w:t>
      </w:r>
      <w:r>
        <w:rPr>
          <w:rFonts w:hint="eastAsia" w:ascii="Arial" w:hAnsi="Arial" w:eastAsia="宋体" w:cs="Arial"/>
          <w:color w:val="333333"/>
          <w:kern w:val="0"/>
          <w:szCs w:val="21"/>
          <w:shd w:val="clear" w:color="auto" w:fill="FFFFFF"/>
        </w:rPr>
        <w:t>，《</w:t>
      </w:r>
      <w:r>
        <w:rPr>
          <w:rFonts w:ascii="Arial" w:hAnsi="Arial" w:eastAsia="宋体" w:cs="Arial"/>
          <w:color w:val="333333"/>
          <w:kern w:val="0"/>
          <w:szCs w:val="21"/>
          <w:shd w:val="clear" w:color="auto" w:fill="FFFFFF"/>
        </w:rPr>
        <w:t>上海市中小学校外民族器乐教育的调查研究</w:t>
      </w:r>
      <w:r>
        <w:rPr>
          <w:rFonts w:hint="eastAsia" w:ascii="Arial" w:hAnsi="Arial" w:eastAsia="宋体" w:cs="Arial"/>
          <w:color w:val="333333"/>
          <w:kern w:val="0"/>
          <w:szCs w:val="21"/>
          <w:shd w:val="clear" w:color="auto" w:fill="FFFFFF"/>
        </w:rPr>
        <w:t>》</w:t>
      </w:r>
      <w:r>
        <w:rPr>
          <w:rFonts w:ascii="Arial" w:hAnsi="Arial" w:eastAsia="宋体" w:cs="Arial"/>
          <w:color w:val="333333"/>
          <w:kern w:val="0"/>
          <w:szCs w:val="21"/>
          <w:shd w:val="clear" w:color="auto" w:fill="FFFFFF"/>
        </w:rPr>
        <w:t>[D]</w:t>
      </w:r>
      <w:r>
        <w:rPr>
          <w:rFonts w:hint="eastAsia" w:ascii="Arial" w:hAnsi="Arial" w:eastAsia="宋体" w:cs="Arial"/>
          <w:color w:val="333333"/>
          <w:kern w:val="0"/>
          <w:szCs w:val="21"/>
          <w:shd w:val="clear" w:color="auto" w:fill="FFFFFF"/>
        </w:rPr>
        <w:t>， 上海师范大学教育管理硕士学位论文</w:t>
      </w:r>
      <w:r>
        <w:rPr>
          <w:rFonts w:ascii="Arial" w:hAnsi="Arial" w:eastAsia="宋体" w:cs="Arial"/>
          <w:color w:val="333333"/>
          <w:kern w:val="0"/>
          <w:szCs w:val="21"/>
          <w:shd w:val="clear" w:color="auto" w:fill="FFFFFF"/>
        </w:rPr>
        <w:t>,2014</w:t>
      </w:r>
      <w:r>
        <w:rPr>
          <w:rFonts w:hint="eastAsia" w:ascii="Arial" w:hAnsi="Arial" w:eastAsia="宋体" w:cs="Arial"/>
          <w:color w:val="333333"/>
          <w:kern w:val="0"/>
          <w:szCs w:val="21"/>
          <w:shd w:val="clear" w:color="auto" w:fill="FFFFFF"/>
        </w:rPr>
        <w:t>年5月。</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yNjQ5OWU1NGMzY2RiZGFkZGFmZGY0MThmODY4ZTAifQ=="/>
  </w:docVars>
  <w:rsids>
    <w:rsidRoot w:val="00D86C9C"/>
    <w:rsid w:val="00003651"/>
    <w:rsid w:val="00026531"/>
    <w:rsid w:val="00042B45"/>
    <w:rsid w:val="00051FB6"/>
    <w:rsid w:val="00060BA4"/>
    <w:rsid w:val="000900AD"/>
    <w:rsid w:val="00091090"/>
    <w:rsid w:val="000B04CB"/>
    <w:rsid w:val="000B7159"/>
    <w:rsid w:val="000C1C91"/>
    <w:rsid w:val="00107231"/>
    <w:rsid w:val="00120F7A"/>
    <w:rsid w:val="001346DA"/>
    <w:rsid w:val="0017686A"/>
    <w:rsid w:val="001A78A1"/>
    <w:rsid w:val="001B62B9"/>
    <w:rsid w:val="001C5E13"/>
    <w:rsid w:val="001D4328"/>
    <w:rsid w:val="001F3406"/>
    <w:rsid w:val="00264375"/>
    <w:rsid w:val="002676A4"/>
    <w:rsid w:val="00271AFF"/>
    <w:rsid w:val="002A4DB1"/>
    <w:rsid w:val="002C08B9"/>
    <w:rsid w:val="002E06ED"/>
    <w:rsid w:val="002E5AC3"/>
    <w:rsid w:val="002F4071"/>
    <w:rsid w:val="002F58B2"/>
    <w:rsid w:val="003762F3"/>
    <w:rsid w:val="003A289B"/>
    <w:rsid w:val="003A5975"/>
    <w:rsid w:val="003E058E"/>
    <w:rsid w:val="003F3598"/>
    <w:rsid w:val="003F7EAD"/>
    <w:rsid w:val="00406170"/>
    <w:rsid w:val="00406E40"/>
    <w:rsid w:val="00425893"/>
    <w:rsid w:val="00434CA8"/>
    <w:rsid w:val="004631D3"/>
    <w:rsid w:val="0047420C"/>
    <w:rsid w:val="00482844"/>
    <w:rsid w:val="004B0021"/>
    <w:rsid w:val="00522CA8"/>
    <w:rsid w:val="005326AA"/>
    <w:rsid w:val="00550A86"/>
    <w:rsid w:val="00571E9A"/>
    <w:rsid w:val="00574232"/>
    <w:rsid w:val="005A133A"/>
    <w:rsid w:val="005B3B62"/>
    <w:rsid w:val="005B4247"/>
    <w:rsid w:val="005B45BF"/>
    <w:rsid w:val="005D7CC7"/>
    <w:rsid w:val="005E6BE7"/>
    <w:rsid w:val="0061435F"/>
    <w:rsid w:val="00616237"/>
    <w:rsid w:val="006349AE"/>
    <w:rsid w:val="0065619A"/>
    <w:rsid w:val="00665F88"/>
    <w:rsid w:val="0068089E"/>
    <w:rsid w:val="006A61CA"/>
    <w:rsid w:val="006A623A"/>
    <w:rsid w:val="006C1B1C"/>
    <w:rsid w:val="006E57D1"/>
    <w:rsid w:val="00705320"/>
    <w:rsid w:val="00722CA1"/>
    <w:rsid w:val="00762698"/>
    <w:rsid w:val="0076408C"/>
    <w:rsid w:val="00764162"/>
    <w:rsid w:val="007D2A1C"/>
    <w:rsid w:val="007E3DA6"/>
    <w:rsid w:val="007E7905"/>
    <w:rsid w:val="00806B6F"/>
    <w:rsid w:val="00820C78"/>
    <w:rsid w:val="00824394"/>
    <w:rsid w:val="00830F11"/>
    <w:rsid w:val="00831124"/>
    <w:rsid w:val="00841B34"/>
    <w:rsid w:val="00845DCE"/>
    <w:rsid w:val="00847966"/>
    <w:rsid w:val="008619B8"/>
    <w:rsid w:val="008906BF"/>
    <w:rsid w:val="008A5082"/>
    <w:rsid w:val="008F22EC"/>
    <w:rsid w:val="008F7FBA"/>
    <w:rsid w:val="00910B7D"/>
    <w:rsid w:val="00914EE2"/>
    <w:rsid w:val="00954D18"/>
    <w:rsid w:val="009624B7"/>
    <w:rsid w:val="00963691"/>
    <w:rsid w:val="00964ED8"/>
    <w:rsid w:val="00986885"/>
    <w:rsid w:val="009C712A"/>
    <w:rsid w:val="009E3F95"/>
    <w:rsid w:val="00A23A57"/>
    <w:rsid w:val="00A42B1A"/>
    <w:rsid w:val="00A54812"/>
    <w:rsid w:val="00A61409"/>
    <w:rsid w:val="00A9002E"/>
    <w:rsid w:val="00AA6411"/>
    <w:rsid w:val="00AB315F"/>
    <w:rsid w:val="00AC48DB"/>
    <w:rsid w:val="00AD1BB9"/>
    <w:rsid w:val="00AE05B8"/>
    <w:rsid w:val="00AE5167"/>
    <w:rsid w:val="00AE7011"/>
    <w:rsid w:val="00AE7CAB"/>
    <w:rsid w:val="00AF40AD"/>
    <w:rsid w:val="00B003B6"/>
    <w:rsid w:val="00B044A4"/>
    <w:rsid w:val="00B23394"/>
    <w:rsid w:val="00B56E51"/>
    <w:rsid w:val="00B611E5"/>
    <w:rsid w:val="00B7561D"/>
    <w:rsid w:val="00B80415"/>
    <w:rsid w:val="00C05F47"/>
    <w:rsid w:val="00C31EE6"/>
    <w:rsid w:val="00C345F8"/>
    <w:rsid w:val="00C417CA"/>
    <w:rsid w:val="00C5219A"/>
    <w:rsid w:val="00C6693B"/>
    <w:rsid w:val="00CB44DC"/>
    <w:rsid w:val="00CB7ECE"/>
    <w:rsid w:val="00CF0D34"/>
    <w:rsid w:val="00D1220C"/>
    <w:rsid w:val="00D4362B"/>
    <w:rsid w:val="00D54126"/>
    <w:rsid w:val="00D86C9C"/>
    <w:rsid w:val="00D9056A"/>
    <w:rsid w:val="00DE4EE3"/>
    <w:rsid w:val="00E27878"/>
    <w:rsid w:val="00E50093"/>
    <w:rsid w:val="00E613E4"/>
    <w:rsid w:val="00E835A0"/>
    <w:rsid w:val="00E8499C"/>
    <w:rsid w:val="00E9672C"/>
    <w:rsid w:val="00EA368D"/>
    <w:rsid w:val="00EF6519"/>
    <w:rsid w:val="00F023A7"/>
    <w:rsid w:val="00F27172"/>
    <w:rsid w:val="00F736A4"/>
    <w:rsid w:val="00FA45E0"/>
    <w:rsid w:val="00FC67DD"/>
    <w:rsid w:val="14112EE1"/>
    <w:rsid w:val="33964224"/>
    <w:rsid w:val="49C43955"/>
    <w:rsid w:val="58DB7B12"/>
    <w:rsid w:val="670B5EBC"/>
    <w:rsid w:val="72BC0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uiPriority w:val="99"/>
    <w:pPr>
      <w:jc w:val="left"/>
    </w:pPr>
  </w:style>
  <w:style w:type="paragraph" w:styleId="3">
    <w:name w:val="Balloon Text"/>
    <w:basedOn w:val="1"/>
    <w:link w:val="24"/>
    <w:semiHidden/>
    <w:unhideWhenUsed/>
    <w:uiPriority w:val="99"/>
    <w:rPr>
      <w:rFonts w:ascii="宋体" w:eastAsia="宋体"/>
      <w:sz w:val="18"/>
      <w:szCs w:val="18"/>
    </w:rPr>
  </w:style>
  <w:style w:type="paragraph" w:styleId="4">
    <w:name w:val="footer"/>
    <w:basedOn w:val="1"/>
    <w:link w:val="21"/>
    <w:unhideWhenUsed/>
    <w:uiPriority w:val="99"/>
    <w:pPr>
      <w:tabs>
        <w:tab w:val="center" w:pos="4153"/>
        <w:tab w:val="right" w:pos="8306"/>
      </w:tabs>
      <w:snapToGrid w:val="0"/>
      <w:jc w:val="left"/>
    </w:pPr>
    <w:rPr>
      <w:sz w:val="18"/>
      <w:szCs w:val="18"/>
    </w:rPr>
  </w:style>
  <w:style w:type="paragraph" w:styleId="5">
    <w:name w:val="footnote text"/>
    <w:basedOn w:val="1"/>
    <w:link w:val="25"/>
    <w:semiHidden/>
    <w:unhideWhenUsed/>
    <w:uiPriority w:val="99"/>
    <w:pPr>
      <w:snapToGrid w:val="0"/>
      <w:jc w:val="left"/>
    </w:pPr>
    <w:rPr>
      <w:sz w:val="18"/>
      <w:szCs w:val="18"/>
    </w:rPr>
  </w:style>
  <w:style w:type="paragraph" w:styleId="6">
    <w:name w:val="annotation subject"/>
    <w:basedOn w:val="2"/>
    <w:next w:val="2"/>
    <w:link w:val="23"/>
    <w:semiHidden/>
    <w:unhideWhenUsed/>
    <w:uiPriority w:val="99"/>
    <w:rPr>
      <w:b/>
      <w:bCs/>
    </w:rPr>
  </w:style>
  <w:style w:type="character" w:styleId="9">
    <w:name w:val="page number"/>
    <w:basedOn w:val="8"/>
    <w:semiHidden/>
    <w:unhideWhenUsed/>
    <w:uiPriority w:val="99"/>
  </w:style>
  <w:style w:type="character" w:styleId="10">
    <w:name w:val="FollowedHyperlink"/>
    <w:basedOn w:val="8"/>
    <w:semiHidden/>
    <w:unhideWhenUsed/>
    <w:uiPriority w:val="99"/>
    <w:rPr>
      <w:color w:val="954F72" w:themeColor="followedHyperlink"/>
      <w:u w:val="single"/>
      <w14:textFill>
        <w14:solidFill>
          <w14:schemeClr w14:val="folHlink"/>
        </w14:solidFill>
      </w14:textFill>
    </w:rPr>
  </w:style>
  <w:style w:type="character" w:styleId="11">
    <w:name w:val="Hyperlink"/>
    <w:basedOn w:val="8"/>
    <w:unhideWhenUsed/>
    <w:uiPriority w:val="99"/>
    <w:rPr>
      <w:color w:val="0000FF"/>
      <w:u w:val="single"/>
    </w:rPr>
  </w:style>
  <w:style w:type="character" w:styleId="12">
    <w:name w:val="annotation reference"/>
    <w:basedOn w:val="8"/>
    <w:semiHidden/>
    <w:unhideWhenUsed/>
    <w:uiPriority w:val="99"/>
    <w:rPr>
      <w:sz w:val="21"/>
      <w:szCs w:val="21"/>
    </w:rPr>
  </w:style>
  <w:style w:type="character" w:styleId="13">
    <w:name w:val="footnote reference"/>
    <w:basedOn w:val="8"/>
    <w:semiHidden/>
    <w:unhideWhenUsed/>
    <w:uiPriority w:val="99"/>
    <w:rPr>
      <w:vertAlign w:val="superscript"/>
    </w:rPr>
  </w:style>
  <w:style w:type="paragraph" w:customStyle="1" w:styleId="14">
    <w:name w:val="p1"/>
    <w:basedOn w:val="1"/>
    <w:uiPriority w:val="0"/>
    <w:pPr>
      <w:widowControl/>
      <w:jc w:val="left"/>
    </w:pPr>
    <w:rPr>
      <w:rFonts w:ascii=".AppleSimplifiedChineseFont" w:hAnsi=".AppleSimplifiedChineseFont" w:eastAsia="宋体" w:cs="宋体"/>
      <w:kern w:val="0"/>
      <w:sz w:val="26"/>
      <w:szCs w:val="26"/>
    </w:rPr>
  </w:style>
  <w:style w:type="paragraph" w:customStyle="1" w:styleId="15">
    <w:name w:val="p2"/>
    <w:basedOn w:val="1"/>
    <w:qFormat/>
    <w:uiPriority w:val="0"/>
    <w:pPr>
      <w:widowControl/>
      <w:jc w:val="left"/>
    </w:pPr>
    <w:rPr>
      <w:rFonts w:ascii=".AppleSystemUIFont" w:hAnsi=".AppleSystemUIFont" w:eastAsia="宋体" w:cs="宋体"/>
      <w:kern w:val="0"/>
      <w:sz w:val="26"/>
      <w:szCs w:val="26"/>
    </w:rPr>
  </w:style>
  <w:style w:type="character" w:customStyle="1" w:styleId="16">
    <w:name w:val="s1"/>
    <w:basedOn w:val="8"/>
    <w:uiPriority w:val="0"/>
    <w:rPr>
      <w:rFonts w:hint="default" w:ascii=".PingFangSC-Regular" w:hAnsi=".PingFangSC-Regular"/>
      <w:sz w:val="26"/>
      <w:szCs w:val="26"/>
    </w:rPr>
  </w:style>
  <w:style w:type="character" w:customStyle="1" w:styleId="17">
    <w:name w:val="s2"/>
    <w:basedOn w:val="8"/>
    <w:uiPriority w:val="0"/>
    <w:rPr>
      <w:rFonts w:hint="default" w:ascii=".SFUI-Regular" w:hAnsi=".SFUI-Regular"/>
      <w:sz w:val="26"/>
      <w:szCs w:val="26"/>
    </w:rPr>
  </w:style>
  <w:style w:type="paragraph" w:customStyle="1" w:styleId="18">
    <w:name w:val="li1"/>
    <w:basedOn w:val="1"/>
    <w:uiPriority w:val="0"/>
    <w:pPr>
      <w:widowControl/>
      <w:jc w:val="left"/>
    </w:pPr>
    <w:rPr>
      <w:rFonts w:ascii=".AppleSimplifiedChineseFont" w:hAnsi=".AppleSimplifiedChineseFont" w:eastAsia="宋体" w:cs="宋体"/>
      <w:kern w:val="0"/>
      <w:sz w:val="26"/>
      <w:szCs w:val="26"/>
    </w:rPr>
  </w:style>
  <w:style w:type="character" w:customStyle="1" w:styleId="19">
    <w:name w:val="apple-converted-space"/>
    <w:basedOn w:val="8"/>
    <w:uiPriority w:val="0"/>
  </w:style>
  <w:style w:type="paragraph" w:styleId="20">
    <w:name w:val="List Paragraph"/>
    <w:basedOn w:val="1"/>
    <w:qFormat/>
    <w:uiPriority w:val="34"/>
    <w:pPr>
      <w:ind w:firstLine="420" w:firstLineChars="200"/>
    </w:pPr>
  </w:style>
  <w:style w:type="character" w:customStyle="1" w:styleId="21">
    <w:name w:val="页脚 字符"/>
    <w:basedOn w:val="8"/>
    <w:link w:val="4"/>
    <w:uiPriority w:val="99"/>
    <w:rPr>
      <w:sz w:val="18"/>
      <w:szCs w:val="18"/>
    </w:rPr>
  </w:style>
  <w:style w:type="character" w:customStyle="1" w:styleId="22">
    <w:name w:val="批注文字 字符"/>
    <w:basedOn w:val="8"/>
    <w:link w:val="2"/>
    <w:semiHidden/>
    <w:uiPriority w:val="99"/>
  </w:style>
  <w:style w:type="character" w:customStyle="1" w:styleId="23">
    <w:name w:val="批注主题 字符"/>
    <w:basedOn w:val="22"/>
    <w:link w:val="6"/>
    <w:semiHidden/>
    <w:uiPriority w:val="99"/>
    <w:rPr>
      <w:b/>
      <w:bCs/>
    </w:rPr>
  </w:style>
  <w:style w:type="character" w:customStyle="1" w:styleId="24">
    <w:name w:val="批注框文本 字符"/>
    <w:basedOn w:val="8"/>
    <w:link w:val="3"/>
    <w:semiHidden/>
    <w:uiPriority w:val="99"/>
    <w:rPr>
      <w:rFonts w:ascii="宋体" w:eastAsia="宋体"/>
      <w:sz w:val="18"/>
      <w:szCs w:val="18"/>
    </w:rPr>
  </w:style>
  <w:style w:type="character" w:customStyle="1" w:styleId="25">
    <w:name w:val="脚注文本 字符"/>
    <w:basedOn w:val="8"/>
    <w:link w:val="5"/>
    <w:semiHidden/>
    <w:uiPriority w:val="99"/>
    <w:rPr>
      <w:sz w:val="18"/>
      <w:szCs w:val="18"/>
    </w:rPr>
  </w:style>
  <w:style w:type="character" w:customStyle="1" w:styleId="26">
    <w:name w:val="未处理的提及1"/>
    <w:basedOn w:val="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4974-9851-6F4A-845B-388956F9EE7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3098</Words>
  <Characters>3165</Characters>
  <Lines>22</Lines>
  <Paragraphs>6</Paragraphs>
  <TotalTime>21</TotalTime>
  <ScaleCrop>false</ScaleCrop>
  <LinksUpToDate>false</LinksUpToDate>
  <CharactersWithSpaces>3194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2023-04-14T03:00:00Z</dcterms:created>
  <dc:creator>Microsoft Office User</dc:creator>
  <cp:lastModifiedBy>龚红</cp:lastModifiedBy>
  <cp:lastPrinted>2020-03-24T07:48:00Z</cp:lastPrinted>
  <dcterms:modified xsi:type="dcterms:W3CDTF">2023-05-05T04:40:17Z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2052-11.1.0.14036</vt:lpwstr>
  </property>
  <property fmtid="{D5CDD505-2E9C-101B-9397-08002B2CF9AE}" pid="4" name="ICV">
    <vt:lpwstr>9CFC29DAA4F54170B7D9A7B6BD1861CD_12</vt:lpwstr>
  </property>
</Properties>
</file>