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0" w:firstLineChars="200"/>
        <w:jc w:val="center"/>
        <w:rPr>
          <w:rFonts w:ascii="黑体" w:hAnsi="黑体" w:eastAsia="黑体"/>
          <w:sz w:val="32"/>
          <w:szCs w:val="32"/>
        </w:rPr>
      </w:pPr>
      <w:r>
        <w:rPr>
          <w:rFonts w:hint="eastAsia" w:ascii="黑体" w:hAnsi="黑体" w:eastAsia="黑体"/>
          <w:sz w:val="32"/>
          <w:szCs w:val="32"/>
        </w:rPr>
        <w:t>线上教学中培养学生学习古诗文兴趣的案例浅析</w:t>
      </w:r>
    </w:p>
    <w:p>
      <w:pPr>
        <w:spacing w:line="360" w:lineRule="auto"/>
        <w:ind w:right="960" w:firstLine="560" w:firstLineChars="200"/>
        <w:jc w:val="center"/>
        <w:rPr>
          <w:rFonts w:hint="eastAsia" w:ascii="宋体" w:hAnsi="宋体"/>
          <w:sz w:val="28"/>
          <w:szCs w:val="28"/>
        </w:rPr>
      </w:pPr>
      <w:r>
        <w:rPr>
          <w:rFonts w:hint="eastAsia" w:ascii="宋体" w:hAnsi="宋体"/>
          <w:sz w:val="28"/>
          <w:szCs w:val="28"/>
        </w:rPr>
        <w:t>汤琳璘</w:t>
      </w:r>
    </w:p>
    <w:p>
      <w:pPr>
        <w:spacing w:line="360" w:lineRule="auto"/>
        <w:ind w:right="960" w:firstLine="560" w:firstLineChars="200"/>
        <w:jc w:val="center"/>
        <w:rPr>
          <w:rFonts w:ascii="宋体"/>
          <w:sz w:val="28"/>
          <w:szCs w:val="28"/>
        </w:rPr>
      </w:pPr>
      <w:r>
        <w:rPr>
          <w:rFonts w:hint="eastAsia" w:ascii="宋体" w:hAnsi="宋体"/>
          <w:sz w:val="28"/>
          <w:szCs w:val="28"/>
        </w:rPr>
        <w:t>上海市奉贤区华亭学校</w:t>
      </w:r>
      <w:r>
        <w:rPr>
          <w:rFonts w:ascii="宋体" w:hAnsi="宋体"/>
          <w:sz w:val="28"/>
          <w:szCs w:val="28"/>
        </w:rPr>
        <w:t xml:space="preserve"> </w:t>
      </w:r>
    </w:p>
    <w:p>
      <w:pPr>
        <w:spacing w:line="360" w:lineRule="auto"/>
        <w:ind w:firstLine="560" w:firstLineChars="200"/>
        <w:jc w:val="left"/>
        <w:rPr>
          <w:rFonts w:ascii="宋体"/>
          <w:sz w:val="28"/>
          <w:szCs w:val="28"/>
        </w:rPr>
      </w:pPr>
      <w:r>
        <w:rPr>
          <w:rFonts w:hint="eastAsia" w:ascii="宋体" w:hAnsi="宋体"/>
          <w:sz w:val="28"/>
          <w:szCs w:val="28"/>
        </w:rPr>
        <w:t>中华民族五千年的优秀文化熔铸了不计其数的脍炙人口的古诗文名篇。这些文化瑰宝流传千古，哺育了一代代炎黄子孙的健康成长。它们以丰富的内涵开阔了人们的胸襟，陶冶了人们的情操，启迪人们的智慧，是人类珍贵的文化遗产。因而古诗文理所</w:t>
      </w:r>
      <w:bookmarkStart w:id="0" w:name="_GoBack"/>
      <w:bookmarkEnd w:id="0"/>
      <w:r>
        <w:rPr>
          <w:rFonts w:hint="eastAsia" w:ascii="宋体" w:hAnsi="宋体"/>
          <w:sz w:val="28"/>
          <w:szCs w:val="28"/>
        </w:rPr>
        <w:t>当然成为学生学习语文的重要板块之一，也是语文老师教学的重要内容之一。</w:t>
      </w:r>
    </w:p>
    <w:p>
      <w:pPr>
        <w:adjustRightInd w:val="0"/>
        <w:snapToGrid w:val="0"/>
        <w:spacing w:line="360" w:lineRule="auto"/>
        <w:ind w:firstLine="560" w:firstLineChars="200"/>
        <w:jc w:val="distribute"/>
        <w:rPr>
          <w:rFonts w:ascii="宋体"/>
          <w:sz w:val="28"/>
          <w:szCs w:val="28"/>
        </w:rPr>
      </w:pPr>
      <w:r>
        <w:rPr>
          <w:rFonts w:hint="eastAsia" w:ascii="宋体" w:hAnsi="宋体"/>
          <w:sz w:val="28"/>
          <w:szCs w:val="28"/>
        </w:rPr>
        <w:t>然而，在现在的语文教学中，古诗文教学成为了一种负担，教师教得累，学生学得枯燥。古诗词教学只是停留在读一读、背一背、默一默的基础上。再加之，由今年新冠病毒肆虐，网络课程成为教师授课的方式，给古诗文的教学增加了难度。那么，如何能隔着屏幕激发学生学习古诗文的</w:t>
      </w:r>
    </w:p>
    <w:p>
      <w:pPr>
        <w:adjustRightInd w:val="0"/>
        <w:snapToGrid w:val="0"/>
        <w:spacing w:line="360" w:lineRule="auto"/>
        <w:rPr>
          <w:rFonts w:ascii="宋体"/>
          <w:sz w:val="28"/>
          <w:szCs w:val="28"/>
        </w:rPr>
      </w:pPr>
      <w:r>
        <w:rPr>
          <w:rFonts w:hint="eastAsia" w:ascii="宋体" w:hAnsi="宋体"/>
          <w:sz w:val="28"/>
          <w:szCs w:val="28"/>
        </w:rPr>
        <w:t>兴趣呢？我觉得可以尝试一下的方法：</w:t>
      </w:r>
    </w:p>
    <w:p>
      <w:pPr>
        <w:pStyle w:val="8"/>
        <w:adjustRightInd w:val="0"/>
        <w:snapToGrid w:val="0"/>
        <w:spacing w:line="360" w:lineRule="auto"/>
        <w:ind w:firstLineChars="0"/>
        <w:rPr>
          <w:rFonts w:ascii="宋体"/>
          <w:b/>
          <w:sz w:val="30"/>
          <w:szCs w:val="30"/>
        </w:rPr>
      </w:pPr>
      <w:r>
        <w:rPr>
          <w:rFonts w:hint="eastAsia" w:ascii="宋体" w:hAnsi="宋体"/>
          <w:b/>
          <w:sz w:val="30"/>
          <w:szCs w:val="30"/>
        </w:rPr>
        <w:t>一、利用网络资源，精心设计有趣的导入</w:t>
      </w:r>
    </w:p>
    <w:p>
      <w:pPr>
        <w:adjustRightInd w:val="0"/>
        <w:snapToGrid w:val="0"/>
        <w:spacing w:line="360" w:lineRule="auto"/>
        <w:ind w:firstLine="560" w:firstLineChars="200"/>
        <w:jc w:val="distribute"/>
        <w:rPr>
          <w:rFonts w:ascii="宋体"/>
          <w:sz w:val="28"/>
          <w:szCs w:val="28"/>
        </w:rPr>
      </w:pPr>
      <w:r>
        <w:rPr>
          <w:rFonts w:ascii="宋体" w:hAnsi="宋体"/>
          <w:sz w:val="28"/>
          <w:szCs w:val="28"/>
        </w:rPr>
        <w:t xml:space="preserve"> </w:t>
      </w:r>
      <w:r>
        <w:rPr>
          <w:rFonts w:hint="eastAsia" w:ascii="宋体" w:hAnsi="宋体"/>
          <w:sz w:val="28"/>
          <w:szCs w:val="28"/>
        </w:rPr>
        <w:t>课堂的导入语好比乐曲的“引子”，戏剧的“序幕”，起到激发学生学习的欲望、集中学生注意力的作用。魏书生老师也曾说过</w:t>
      </w:r>
      <w:r>
        <w:rPr>
          <w:rFonts w:ascii="宋体" w:hAnsi="宋体"/>
          <w:sz w:val="28"/>
          <w:szCs w:val="28"/>
        </w:rPr>
        <w:t>:</w:t>
      </w:r>
      <w:r>
        <w:rPr>
          <w:rFonts w:hint="eastAsia" w:ascii="宋体" w:hAnsi="宋体"/>
          <w:sz w:val="28"/>
          <w:szCs w:val="28"/>
        </w:rPr>
        <w:t>“好的导语像磁铁，一下子把学生的注意力聚拢起来，好的导语又是思想的电光石火，能给学生以启迪，催人奋进。”因此，对于学生感觉较枯燥的古诗文学习，导</w:t>
      </w:r>
    </w:p>
    <w:p>
      <w:pPr>
        <w:adjustRightInd w:val="0"/>
        <w:snapToGrid w:val="0"/>
        <w:spacing w:line="360" w:lineRule="auto"/>
        <w:rPr>
          <w:rFonts w:ascii="宋体"/>
          <w:sz w:val="28"/>
          <w:szCs w:val="28"/>
        </w:rPr>
      </w:pPr>
      <w:r>
        <w:rPr>
          <w:rFonts w:hint="eastAsia" w:ascii="宋体" w:hAnsi="宋体"/>
          <w:sz w:val="28"/>
          <w:szCs w:val="28"/>
        </w:rPr>
        <w:t>语更要精心设计。</w:t>
      </w:r>
    </w:p>
    <w:p>
      <w:pPr>
        <w:spacing w:line="360" w:lineRule="auto"/>
        <w:ind w:firstLine="560" w:firstLineChars="200"/>
        <w:jc w:val="left"/>
        <w:rPr>
          <w:rFonts w:ascii="宋体"/>
          <w:sz w:val="28"/>
          <w:szCs w:val="28"/>
        </w:rPr>
      </w:pPr>
      <w:r>
        <w:rPr>
          <w:rFonts w:hint="eastAsia" w:ascii="宋体" w:hAnsi="宋体"/>
          <w:sz w:val="28"/>
          <w:szCs w:val="28"/>
        </w:rPr>
        <w:t>比如：在教授课外古文《朝三暮四》时，利用电脑屏幕先展示几幅学生们熟知的寓言故事的彩色图片，让学生连麦发言，谈一谈自己熟知的有趣的寓言故事，比如《黔驴技穷》、《买椟怀珠》、《按图索骥》等等，吸引学生的注意力，激发了学生的学习兴趣。然后再出示“塞翁失马”的插图，引出新课《朝三暮四》，此时学生被调动了学习的热情，自然有了学习新课的热情，课堂效果就好。</w:t>
      </w:r>
    </w:p>
    <w:p>
      <w:pPr>
        <w:spacing w:line="360" w:lineRule="auto"/>
        <w:ind w:firstLine="560" w:firstLineChars="200"/>
        <w:jc w:val="left"/>
        <w:rPr>
          <w:rFonts w:ascii="宋体"/>
          <w:sz w:val="28"/>
          <w:szCs w:val="28"/>
        </w:rPr>
      </w:pPr>
      <w:r>
        <w:rPr>
          <w:rFonts w:hint="eastAsia" w:ascii="宋体" w:hAnsi="宋体"/>
          <w:sz w:val="28"/>
          <w:szCs w:val="28"/>
        </w:rPr>
        <w:t>再如教授《迢迢牵牛星》一课时，课前布置学生利用网络收集有关牛郎织女和嫦娥奔月的民间故事，然后以直播连麦的方式让学生简单地跟大家汇报一下，要求是一分钟演讲，把语言组织好，让别人听明白。然后导入课文，这样激发学生学习热情，学习效率就会很高。</w:t>
      </w:r>
    </w:p>
    <w:p>
      <w:pPr>
        <w:spacing w:line="360" w:lineRule="auto"/>
        <w:ind w:firstLine="602" w:firstLineChars="200"/>
        <w:jc w:val="left"/>
        <w:rPr>
          <w:rFonts w:ascii="宋体"/>
          <w:b/>
          <w:sz w:val="30"/>
          <w:szCs w:val="30"/>
        </w:rPr>
      </w:pPr>
      <w:r>
        <w:rPr>
          <w:rFonts w:hint="eastAsia" w:ascii="宋体" w:hAnsi="宋体"/>
          <w:b/>
          <w:sz w:val="30"/>
          <w:szCs w:val="30"/>
        </w:rPr>
        <w:t>二、变化诵读中寻味古韵，激发学生学习兴趣</w:t>
      </w:r>
    </w:p>
    <w:p>
      <w:pPr>
        <w:spacing w:line="360" w:lineRule="auto"/>
        <w:ind w:firstLine="560" w:firstLineChars="200"/>
        <w:jc w:val="left"/>
        <w:rPr>
          <w:rFonts w:ascii="宋体"/>
          <w:sz w:val="28"/>
          <w:szCs w:val="28"/>
        </w:rPr>
      </w:pPr>
      <w:r>
        <w:rPr>
          <w:rFonts w:ascii="宋体" w:hAnsi="宋体"/>
          <w:sz w:val="28"/>
          <w:szCs w:val="28"/>
        </w:rPr>
        <w:t xml:space="preserve"> </w:t>
      </w:r>
      <w:r>
        <w:rPr>
          <w:rFonts w:hint="eastAsia" w:ascii="宋体" w:hAnsi="宋体"/>
          <w:sz w:val="28"/>
          <w:szCs w:val="28"/>
        </w:rPr>
        <w:t>古诗词和古文有着内在的韵律和节奏，且极为精致，会朗读的人能够读出一种古韵来，这是现代白话文很难做到的，也是古代汉语的一种精髓所在。如果学生能在朗读中发现这种韵律，就能读出一种美感来，读出一种古韵来，兴趣便在琅琅的书声中自然激发。</w:t>
      </w:r>
    </w:p>
    <w:p>
      <w:pPr>
        <w:spacing w:line="360" w:lineRule="auto"/>
        <w:ind w:firstLine="560" w:firstLineChars="200"/>
        <w:jc w:val="left"/>
        <w:rPr>
          <w:rFonts w:ascii="宋体"/>
          <w:sz w:val="28"/>
          <w:szCs w:val="28"/>
        </w:rPr>
      </w:pPr>
      <w:r>
        <w:rPr>
          <w:rFonts w:hint="eastAsia" w:ascii="宋体" w:hAnsi="宋体"/>
          <w:sz w:val="28"/>
          <w:szCs w:val="28"/>
        </w:rPr>
        <w:t>线上教学阻碍了全班面对面的直接快速交流，缺少了抑扬顿挫的集体吟诵氛围，但仍可根据每篇古诗文的内容、特点，灵活运用不同的诵读形式开展诵读，变着花样让学生保持对这篇课文的新鲜感和趣味感。</w:t>
      </w:r>
    </w:p>
    <w:p>
      <w:pPr>
        <w:spacing w:line="360" w:lineRule="auto"/>
        <w:ind w:firstLine="560" w:firstLineChars="200"/>
        <w:jc w:val="left"/>
        <w:rPr>
          <w:rFonts w:ascii="宋体"/>
          <w:sz w:val="28"/>
          <w:szCs w:val="28"/>
        </w:rPr>
      </w:pPr>
      <w:r>
        <w:rPr>
          <w:rFonts w:hint="eastAsia" w:ascii="宋体" w:hAnsi="宋体"/>
          <w:sz w:val="28"/>
          <w:szCs w:val="28"/>
        </w:rPr>
        <w:t>比如教授《学弈》这篇古文时，我做了这样的诵读安排：首先，教师在直播群里播放名家录音，学生跟着录音朗读，模仿语音语调，体会节奏快慢，情感意蕴。然后连麦点名进行比赛朗读，没有轮到的学生则看着自家电脑屏幕听读。再者，在教学的过程中，教师让学生在音乐背景伴奏之下自由读。最后，利用钉钉视频会议等，配上适当的画面和课文文字，让学生进行集体朗读。这节课设计中有变化读的情景：名家录音、动画画面、伴奏音乐、画面和文字的合成体，体现了读的层次；跟读、点名读、竞赛读、自由读、集体诵读，自然也就收获了读的效果：读清了字音和停顿，读准了节奏，读出了情感。“读书百遍，其义自见”，在反复的诵读中帮助学生理解古文的内容，潜移默化地受到文章的感染和熏陶，弥补了在线课堂缺乏读书氛围的缺陷，且使网络课堂效率最大化。</w:t>
      </w:r>
    </w:p>
    <w:p>
      <w:pPr>
        <w:numPr>
          <w:ilvl w:val="0"/>
          <w:numId w:val="1"/>
        </w:numPr>
        <w:spacing w:line="360" w:lineRule="auto"/>
        <w:jc w:val="left"/>
        <w:rPr>
          <w:rFonts w:ascii="宋体"/>
          <w:b/>
          <w:sz w:val="30"/>
          <w:szCs w:val="30"/>
        </w:rPr>
      </w:pPr>
      <w:r>
        <w:rPr>
          <w:rFonts w:hint="eastAsia" w:ascii="宋体" w:hAnsi="宋体"/>
          <w:b/>
          <w:sz w:val="30"/>
          <w:szCs w:val="30"/>
        </w:rPr>
        <w:t>利用多种方法品味赏析古诗文，帮助学生理解内容主旨</w:t>
      </w:r>
    </w:p>
    <w:p>
      <w:pPr>
        <w:spacing w:line="360" w:lineRule="auto"/>
        <w:ind w:firstLine="560" w:firstLineChars="200"/>
        <w:jc w:val="left"/>
        <w:rPr>
          <w:rFonts w:ascii="宋体"/>
          <w:sz w:val="28"/>
          <w:szCs w:val="28"/>
        </w:rPr>
      </w:pPr>
      <w:r>
        <w:rPr>
          <w:rFonts w:hint="eastAsia" w:ascii="宋体" w:hAnsi="宋体"/>
          <w:sz w:val="28"/>
          <w:szCs w:val="28"/>
        </w:rPr>
        <w:t>我国古典诗文博大精深、意蕴丰富、字字珠玑，充分展现了中国古代人民丰富的思想情感，独特的审美视角和古人的聪明才智。但古典诗文语言的凝练，情感意蕴的含蓄，思维的跳跃，表达的巧妙，文句的多变都加大了鉴赏的难度。所以，学生在学习古诗文时，教师应采用多种方法指导学生品出它的意、品出它的情，引发学生对古诗文的兴趣。</w:t>
      </w:r>
    </w:p>
    <w:p>
      <w:pPr>
        <w:spacing w:line="360" w:lineRule="auto"/>
        <w:ind w:firstLine="560" w:firstLineChars="200"/>
        <w:jc w:val="left"/>
        <w:rPr>
          <w:rFonts w:ascii="宋体"/>
          <w:sz w:val="28"/>
          <w:szCs w:val="28"/>
        </w:rPr>
      </w:pPr>
      <w:r>
        <w:rPr>
          <w:rFonts w:hint="eastAsia" w:ascii="宋体" w:hAnsi="宋体"/>
          <w:sz w:val="28"/>
          <w:szCs w:val="28"/>
        </w:rPr>
        <w:t>如在学习《西江月·夜行黄沙道中》时，在了解词大意的基础上，老师利用上课平台播放背景音乐和情节画面，让学生展开想象：一个晴朗的江南夏夜，月光皎洁，栖息在树杈上的乌鸦惊飞而起。清风徐徐吹来，树枝轻摇，沉睡的夏蝉也在深夜里鸣叫起来。人们谈论着丰收的年景，耳边传来一阵阵青蛙的叫声，好像在说着丰年。忽然飘来了浮云，月儿不见了，闪烁的星星时隐时现。不一会儿，山前下起来淅淅沥沥的雨点。这突来的阵雨打破了词人的雅兴，使他心情稍有焦急，不得不匆匆疾步，躲避这夜来的飞雨。步履匆忙，无暇四顾，路到溪桥一转弯，猛然抬头，从前熟识的茅店小屋就展现在土地庙的树林边，一种惊喜之情油然而生。通过想象一幅清朗幽静、温馨恬淡、丰收在望的喜人景象就呈现在读者面前了。</w:t>
      </w:r>
    </w:p>
    <w:p>
      <w:pPr>
        <w:spacing w:line="360" w:lineRule="auto"/>
        <w:ind w:firstLine="560" w:firstLineChars="200"/>
        <w:jc w:val="left"/>
        <w:rPr>
          <w:rFonts w:ascii="宋体"/>
          <w:sz w:val="28"/>
          <w:szCs w:val="28"/>
        </w:rPr>
      </w:pPr>
      <w:r>
        <w:rPr>
          <w:rFonts w:hint="eastAsia" w:ascii="宋体" w:hAnsi="宋体"/>
          <w:sz w:val="28"/>
          <w:szCs w:val="28"/>
        </w:rPr>
        <w:t>无论是赏析《西江月》时利用想象，情景再现，还是如教授《桃花源记》时利用</w:t>
      </w:r>
      <w:r>
        <w:rPr>
          <w:rFonts w:ascii="宋体" w:hAnsi="宋体"/>
          <w:sz w:val="28"/>
          <w:szCs w:val="28"/>
        </w:rPr>
        <w:t>flash</w:t>
      </w:r>
      <w:r>
        <w:rPr>
          <w:rFonts w:hint="eastAsia" w:ascii="宋体" w:hAnsi="宋体"/>
          <w:sz w:val="28"/>
          <w:szCs w:val="28"/>
        </w:rPr>
        <w:t>制作出武陵人的行进路线，吸引孩子眼球，抑或是学习《醉翁亭记》时插入</w:t>
      </w:r>
      <w:r>
        <w:rPr>
          <w:rFonts w:ascii="宋体" w:hAnsi="宋体"/>
          <w:sz w:val="28"/>
          <w:szCs w:val="28"/>
        </w:rPr>
        <w:t>ppt</w:t>
      </w:r>
      <w:r>
        <w:rPr>
          <w:rFonts w:hint="eastAsia" w:ascii="宋体" w:hAnsi="宋体"/>
          <w:sz w:val="28"/>
          <w:szCs w:val="28"/>
        </w:rPr>
        <w:t>补充介绍创作背景，都能激发学生学习探索古诗文的热情。</w:t>
      </w:r>
    </w:p>
    <w:p>
      <w:pPr>
        <w:numPr>
          <w:ilvl w:val="0"/>
          <w:numId w:val="1"/>
        </w:numPr>
        <w:spacing w:line="360" w:lineRule="auto"/>
        <w:jc w:val="left"/>
        <w:rPr>
          <w:rFonts w:ascii="宋体"/>
          <w:b/>
          <w:sz w:val="30"/>
          <w:szCs w:val="30"/>
        </w:rPr>
      </w:pPr>
      <w:r>
        <w:rPr>
          <w:rFonts w:hint="eastAsia" w:ascii="宋体" w:hAnsi="宋体"/>
          <w:b/>
          <w:sz w:val="30"/>
          <w:szCs w:val="30"/>
        </w:rPr>
        <w:t>课后开展多种语文实践活动，不断强化学习古诗文的兴趣</w:t>
      </w:r>
    </w:p>
    <w:p>
      <w:pPr>
        <w:spacing w:line="360" w:lineRule="auto"/>
        <w:ind w:firstLine="560" w:firstLineChars="200"/>
        <w:jc w:val="left"/>
        <w:rPr>
          <w:rFonts w:ascii="宋体"/>
          <w:sz w:val="28"/>
          <w:szCs w:val="28"/>
        </w:rPr>
      </w:pPr>
      <w:r>
        <w:rPr>
          <w:rFonts w:hint="eastAsia" w:ascii="宋体" w:hAnsi="宋体"/>
          <w:sz w:val="28"/>
          <w:szCs w:val="28"/>
        </w:rPr>
        <w:t>网络的优势在于联系及时，沟通方便，在完成一篇古诗词或者古文的学习之后，教师可以布置多种形式的巩固练习。比如：利用钉钉视频会议进行云古诗文诵读比赛、文言故事大赛；通过钉钉家校本可以让学生长传趣味仿写，教师挑选优秀作品群分享；还可以以小组为单位录制课本剧表演视频等等丰富多彩的活动。</w:t>
      </w:r>
    </w:p>
    <w:p>
      <w:pPr>
        <w:spacing w:line="360" w:lineRule="auto"/>
        <w:ind w:firstLine="560" w:firstLineChars="200"/>
        <w:jc w:val="left"/>
        <w:rPr>
          <w:rFonts w:ascii="宋体"/>
          <w:sz w:val="28"/>
          <w:szCs w:val="28"/>
        </w:rPr>
      </w:pPr>
      <w:r>
        <w:rPr>
          <w:rFonts w:hint="eastAsia" w:ascii="宋体" w:hAnsi="宋体"/>
          <w:sz w:val="28"/>
          <w:szCs w:val="28"/>
        </w:rPr>
        <w:t>如在教学《愚公移山》这课时，为了让学生更深刻地理解愚公身上不畏艰难，坚持不懈的精神，可以组织一场云辩论赛。让正反两方对愚公应该移山还是应该搬家进行辩论。学生们各执一词，热烈辩论，清晰地表达了自己的观点，论证过程也有理有据。在双方的“唇枪舌战”中，既深刻感悟了愚公不怕困难的坚毅精神，也领会到了变通思想存在的合理性。这样的激情辩论赛避免了死板的古文灌输式的教学，扩散了学生的思维，训练了学生的语言表达能力，更激发了学生的学习热情。</w:t>
      </w:r>
    </w:p>
    <w:p>
      <w:pPr>
        <w:spacing w:line="360" w:lineRule="auto"/>
        <w:ind w:firstLine="560" w:firstLineChars="200"/>
        <w:jc w:val="left"/>
        <w:rPr>
          <w:rFonts w:ascii="宋体" w:hAnsi="宋体"/>
          <w:sz w:val="28"/>
          <w:szCs w:val="28"/>
        </w:rPr>
      </w:pPr>
      <w:r>
        <w:rPr>
          <w:rFonts w:hint="eastAsia" w:ascii="宋体" w:hAnsi="宋体"/>
          <w:sz w:val="28"/>
          <w:szCs w:val="28"/>
        </w:rPr>
        <w:t>可见，常常开展这样多种形式的活动，能够使学生学习诗词</w:t>
      </w:r>
      <w:r>
        <w:rPr>
          <w:rFonts w:hint="eastAsia" w:ascii="宋体"/>
          <w:sz w:val="28"/>
          <w:szCs w:val="28"/>
        </w:rPr>
        <w:t>的“</w:t>
      </w:r>
      <w:r>
        <w:rPr>
          <w:rFonts w:hint="eastAsia" w:ascii="宋体" w:hAnsi="宋体"/>
          <w:sz w:val="28"/>
          <w:szCs w:val="28"/>
        </w:rPr>
        <w:t>苦学</w:t>
      </w:r>
      <w:r>
        <w:rPr>
          <w:rFonts w:hint="eastAsia" w:ascii="宋体"/>
          <w:sz w:val="28"/>
          <w:szCs w:val="28"/>
        </w:rPr>
        <w:t>”</w:t>
      </w:r>
      <w:r>
        <w:rPr>
          <w:rFonts w:hint="eastAsia" w:ascii="宋体" w:hAnsi="宋体"/>
          <w:sz w:val="28"/>
          <w:szCs w:val="28"/>
        </w:rPr>
        <w:t>变成“乐学”，大大提高了课堂的教学效果。</w:t>
      </w:r>
      <w:r>
        <w:rPr>
          <w:rFonts w:ascii="宋体" w:hAnsi="宋体"/>
          <w:sz w:val="28"/>
          <w:szCs w:val="28"/>
        </w:rPr>
        <w:t xml:space="preserve">  </w:t>
      </w:r>
    </w:p>
    <w:p>
      <w:pPr>
        <w:spacing w:line="360" w:lineRule="auto"/>
        <w:ind w:firstLine="560" w:firstLineChars="200"/>
        <w:jc w:val="left"/>
        <w:rPr>
          <w:rFonts w:ascii="宋体"/>
          <w:sz w:val="28"/>
          <w:szCs w:val="28"/>
        </w:rPr>
      </w:pPr>
      <w:r>
        <w:rPr>
          <w:rFonts w:hint="eastAsia" w:ascii="宋体" w:hAnsi="宋体"/>
          <w:sz w:val="28"/>
          <w:szCs w:val="28"/>
        </w:rPr>
        <w:t>苏霍姆林斯基说过：“只有当感情的血液在知识这个活的机体中欢腾、流动的时候，知识才会触及人的精神世界。”语文教学离不开情，离不开趣。因此，在线上语文教学中要充分利用网络优势开展丰富多彩的古诗文课堂。</w:t>
      </w:r>
    </w:p>
    <w:p>
      <w:pPr>
        <w:spacing w:line="360" w:lineRule="auto"/>
        <w:jc w:val="left"/>
        <w:rPr>
          <w:sz w:val="28"/>
          <w:szCs w:val="28"/>
        </w:rPr>
      </w:pPr>
      <w:r>
        <w:rPr>
          <w:sz w:val="28"/>
          <w:szCs w:val="28"/>
        </w:rPr>
        <w:t xml:space="preserve">                                          </w:t>
      </w:r>
      <w:r>
        <w:rPr>
          <w:rFonts w:hint="eastAsia"/>
          <w:sz w:val="28"/>
          <w:szCs w:val="28"/>
        </w:rPr>
        <w:t>交流日期：</w:t>
      </w:r>
      <w:r>
        <w:rPr>
          <w:sz w:val="28"/>
          <w:szCs w:val="28"/>
        </w:rPr>
        <w:t>2022.04.28</w:t>
      </w:r>
    </w:p>
    <w:sectPr>
      <w:footerReference r:id="rId3" w:type="default"/>
      <w:footerReference r:id="rId4" w:type="even"/>
      <w:pgSz w:w="11906" w:h="16838"/>
      <w:pgMar w:top="1418" w:right="1418" w:bottom="1418"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774E75"/>
    <w:multiLevelType w:val="multilevel"/>
    <w:tmpl w:val="6D774E75"/>
    <w:lvl w:ilvl="0" w:tentative="0">
      <w:start w:val="3"/>
      <w:numFmt w:val="japaneseCounting"/>
      <w:lvlText w:val="%1、"/>
      <w:lvlJc w:val="left"/>
      <w:pPr>
        <w:tabs>
          <w:tab w:val="left" w:pos="960"/>
        </w:tabs>
        <w:ind w:left="960" w:hanging="720"/>
      </w:pPr>
      <w:rPr>
        <w:rFonts w:hint="default" w:hAnsi="宋体" w:cs="Times New Roman"/>
      </w:rPr>
    </w:lvl>
    <w:lvl w:ilvl="1" w:tentative="0">
      <w:start w:val="1"/>
      <w:numFmt w:val="lowerLetter"/>
      <w:lvlText w:val="%2)"/>
      <w:lvlJc w:val="left"/>
      <w:pPr>
        <w:tabs>
          <w:tab w:val="left" w:pos="1080"/>
        </w:tabs>
        <w:ind w:left="1080" w:hanging="420"/>
      </w:pPr>
      <w:rPr>
        <w:rFonts w:cs="Times New Roman"/>
      </w:rPr>
    </w:lvl>
    <w:lvl w:ilvl="2" w:tentative="0">
      <w:start w:val="1"/>
      <w:numFmt w:val="lowerRoman"/>
      <w:lvlText w:val="%3."/>
      <w:lvlJc w:val="right"/>
      <w:pPr>
        <w:tabs>
          <w:tab w:val="left" w:pos="1500"/>
        </w:tabs>
        <w:ind w:left="1500" w:hanging="420"/>
      </w:pPr>
      <w:rPr>
        <w:rFonts w:cs="Times New Roman"/>
      </w:rPr>
    </w:lvl>
    <w:lvl w:ilvl="3" w:tentative="0">
      <w:start w:val="1"/>
      <w:numFmt w:val="decimal"/>
      <w:lvlText w:val="%4."/>
      <w:lvlJc w:val="left"/>
      <w:pPr>
        <w:tabs>
          <w:tab w:val="left" w:pos="1920"/>
        </w:tabs>
        <w:ind w:left="1920" w:hanging="420"/>
      </w:pPr>
      <w:rPr>
        <w:rFonts w:cs="Times New Roman"/>
      </w:rPr>
    </w:lvl>
    <w:lvl w:ilvl="4" w:tentative="0">
      <w:start w:val="1"/>
      <w:numFmt w:val="lowerLetter"/>
      <w:lvlText w:val="%5)"/>
      <w:lvlJc w:val="left"/>
      <w:pPr>
        <w:tabs>
          <w:tab w:val="left" w:pos="2340"/>
        </w:tabs>
        <w:ind w:left="2340" w:hanging="420"/>
      </w:pPr>
      <w:rPr>
        <w:rFonts w:cs="Times New Roman"/>
      </w:rPr>
    </w:lvl>
    <w:lvl w:ilvl="5" w:tentative="0">
      <w:start w:val="1"/>
      <w:numFmt w:val="lowerRoman"/>
      <w:lvlText w:val="%6."/>
      <w:lvlJc w:val="right"/>
      <w:pPr>
        <w:tabs>
          <w:tab w:val="left" w:pos="2760"/>
        </w:tabs>
        <w:ind w:left="2760" w:hanging="420"/>
      </w:pPr>
      <w:rPr>
        <w:rFonts w:cs="Times New Roman"/>
      </w:rPr>
    </w:lvl>
    <w:lvl w:ilvl="6" w:tentative="0">
      <w:start w:val="1"/>
      <w:numFmt w:val="decimal"/>
      <w:lvlText w:val="%7."/>
      <w:lvlJc w:val="left"/>
      <w:pPr>
        <w:tabs>
          <w:tab w:val="left" w:pos="3180"/>
        </w:tabs>
        <w:ind w:left="3180" w:hanging="420"/>
      </w:pPr>
      <w:rPr>
        <w:rFonts w:cs="Times New Roman"/>
      </w:rPr>
    </w:lvl>
    <w:lvl w:ilvl="7" w:tentative="0">
      <w:start w:val="1"/>
      <w:numFmt w:val="lowerLetter"/>
      <w:lvlText w:val="%8)"/>
      <w:lvlJc w:val="left"/>
      <w:pPr>
        <w:tabs>
          <w:tab w:val="left" w:pos="3600"/>
        </w:tabs>
        <w:ind w:left="3600" w:hanging="420"/>
      </w:pPr>
      <w:rPr>
        <w:rFonts w:cs="Times New Roman"/>
      </w:rPr>
    </w:lvl>
    <w:lvl w:ilvl="8" w:tentative="0">
      <w:start w:val="1"/>
      <w:numFmt w:val="lowerRoman"/>
      <w:lvlText w:val="%9."/>
      <w:lvlJc w:val="right"/>
      <w:pPr>
        <w:tabs>
          <w:tab w:val="left" w:pos="4020"/>
        </w:tabs>
        <w:ind w:left="40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BkZTVhY2FiYjg2MjBmNDQ5YjcyNjc1YmQ5NTZmYjUifQ=="/>
  </w:docVars>
  <w:rsids>
    <w:rsidRoot w:val="00EB5AA1"/>
    <w:rsid w:val="00007548"/>
    <w:rsid w:val="0001249E"/>
    <w:rsid w:val="00037326"/>
    <w:rsid w:val="000524FC"/>
    <w:rsid w:val="0009170E"/>
    <w:rsid w:val="000A1A1B"/>
    <w:rsid w:val="000D7EA1"/>
    <w:rsid w:val="000E368F"/>
    <w:rsid w:val="000E646A"/>
    <w:rsid w:val="0011172A"/>
    <w:rsid w:val="00112B5C"/>
    <w:rsid w:val="00137349"/>
    <w:rsid w:val="00180BA2"/>
    <w:rsid w:val="00190297"/>
    <w:rsid w:val="001A37F0"/>
    <w:rsid w:val="001B02D0"/>
    <w:rsid w:val="001B1AA7"/>
    <w:rsid w:val="002034A9"/>
    <w:rsid w:val="00205CFE"/>
    <w:rsid w:val="002100BF"/>
    <w:rsid w:val="00266769"/>
    <w:rsid w:val="00295563"/>
    <w:rsid w:val="002B61E3"/>
    <w:rsid w:val="00323A0A"/>
    <w:rsid w:val="0036670B"/>
    <w:rsid w:val="003A36CA"/>
    <w:rsid w:val="003C4A6E"/>
    <w:rsid w:val="003E0EEB"/>
    <w:rsid w:val="004230DD"/>
    <w:rsid w:val="00450107"/>
    <w:rsid w:val="004568D9"/>
    <w:rsid w:val="00457CBF"/>
    <w:rsid w:val="00465946"/>
    <w:rsid w:val="00476954"/>
    <w:rsid w:val="00490281"/>
    <w:rsid w:val="004C61D7"/>
    <w:rsid w:val="004C72E4"/>
    <w:rsid w:val="004D1C46"/>
    <w:rsid w:val="00510287"/>
    <w:rsid w:val="00554250"/>
    <w:rsid w:val="0056179A"/>
    <w:rsid w:val="00571A56"/>
    <w:rsid w:val="00592176"/>
    <w:rsid w:val="00594683"/>
    <w:rsid w:val="005B3046"/>
    <w:rsid w:val="005F5822"/>
    <w:rsid w:val="00601CB3"/>
    <w:rsid w:val="00606393"/>
    <w:rsid w:val="00626C04"/>
    <w:rsid w:val="00662BCE"/>
    <w:rsid w:val="006809BE"/>
    <w:rsid w:val="00683E71"/>
    <w:rsid w:val="006A43F9"/>
    <w:rsid w:val="00716DD4"/>
    <w:rsid w:val="0073445B"/>
    <w:rsid w:val="00756151"/>
    <w:rsid w:val="00761FB3"/>
    <w:rsid w:val="007650F0"/>
    <w:rsid w:val="0076554B"/>
    <w:rsid w:val="007B4E18"/>
    <w:rsid w:val="007C0AA5"/>
    <w:rsid w:val="007D1E73"/>
    <w:rsid w:val="007E24E6"/>
    <w:rsid w:val="007F0B46"/>
    <w:rsid w:val="008513AC"/>
    <w:rsid w:val="008D72C3"/>
    <w:rsid w:val="00933CFF"/>
    <w:rsid w:val="00934BC6"/>
    <w:rsid w:val="009C4476"/>
    <w:rsid w:val="009D3421"/>
    <w:rsid w:val="009E3237"/>
    <w:rsid w:val="00A260B2"/>
    <w:rsid w:val="00A324C8"/>
    <w:rsid w:val="00A476A9"/>
    <w:rsid w:val="00A80E5B"/>
    <w:rsid w:val="00A97845"/>
    <w:rsid w:val="00AA6154"/>
    <w:rsid w:val="00AA6C51"/>
    <w:rsid w:val="00AB30CA"/>
    <w:rsid w:val="00AC4EEF"/>
    <w:rsid w:val="00AD0A82"/>
    <w:rsid w:val="00AF4607"/>
    <w:rsid w:val="00B02703"/>
    <w:rsid w:val="00B55DD9"/>
    <w:rsid w:val="00B861FD"/>
    <w:rsid w:val="00B97EE9"/>
    <w:rsid w:val="00BC5027"/>
    <w:rsid w:val="00BE14A4"/>
    <w:rsid w:val="00C12FF1"/>
    <w:rsid w:val="00C17300"/>
    <w:rsid w:val="00C17686"/>
    <w:rsid w:val="00C37668"/>
    <w:rsid w:val="00C92BC9"/>
    <w:rsid w:val="00CF56CC"/>
    <w:rsid w:val="00D54305"/>
    <w:rsid w:val="00D801E7"/>
    <w:rsid w:val="00DA007C"/>
    <w:rsid w:val="00DC6B25"/>
    <w:rsid w:val="00DC701E"/>
    <w:rsid w:val="00E12974"/>
    <w:rsid w:val="00E431DA"/>
    <w:rsid w:val="00E703EC"/>
    <w:rsid w:val="00E93390"/>
    <w:rsid w:val="00EB5AA1"/>
    <w:rsid w:val="00ED6F97"/>
    <w:rsid w:val="00EE03DA"/>
    <w:rsid w:val="00F469D8"/>
    <w:rsid w:val="00F71E02"/>
    <w:rsid w:val="00F72ACF"/>
    <w:rsid w:val="00F835B6"/>
    <w:rsid w:val="00FB348E"/>
    <w:rsid w:val="06677F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styleId="8">
    <w:name w:val="List Paragraph"/>
    <w:basedOn w:val="1"/>
    <w:qFormat/>
    <w:uiPriority w:val="99"/>
    <w:pPr>
      <w:ind w:firstLine="420" w:firstLineChars="200"/>
    </w:pPr>
  </w:style>
  <w:style w:type="character" w:customStyle="1" w:styleId="9">
    <w:name w:val="Header Char"/>
    <w:basedOn w:val="6"/>
    <w:link w:val="4"/>
    <w:locked/>
    <w:uiPriority w:val="99"/>
    <w:rPr>
      <w:rFonts w:cs="Times New Roman"/>
      <w:sz w:val="18"/>
      <w:szCs w:val="18"/>
    </w:rPr>
  </w:style>
  <w:style w:type="character" w:customStyle="1" w:styleId="10">
    <w:name w:val="Footer Char"/>
    <w:basedOn w:val="6"/>
    <w:link w:val="3"/>
    <w:locked/>
    <w:uiPriority w:val="99"/>
    <w:rPr>
      <w:rFonts w:cs="Times New Roman"/>
      <w:sz w:val="18"/>
      <w:szCs w:val="18"/>
    </w:rPr>
  </w:style>
  <w:style w:type="character" w:customStyle="1" w:styleId="11">
    <w:name w:val="Balloon Text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4</Pages>
  <Words>2458</Words>
  <Characters>2473</Characters>
  <Lines>0</Lines>
  <Paragraphs>0</Paragraphs>
  <TotalTime>1</TotalTime>
  <ScaleCrop>false</ScaleCrop>
  <LinksUpToDate>false</LinksUpToDate>
  <CharactersWithSpaces>2520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2022-01-24T08:54:00Z</dcterms:created>
  <dc:creator>user</dc:creator>
  <cp:lastModifiedBy>ghoulray23</cp:lastModifiedBy>
  <cp:lastPrinted>2023-04-17T01:54:00Z</cp:lastPrinted>
  <dcterms:modified xsi:type="dcterms:W3CDTF">2023-05-05T02:29:01Z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2B2AFB40DB02483EA849D82B2B79D4D2</vt:lpwstr>
  </property>
</Properties>
</file>