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Cs/>
          <w:sz w:val="36"/>
          <w:szCs w:val="36"/>
        </w:rPr>
      </w:pPr>
      <w:bookmarkStart w:id="3" w:name="_GoBack"/>
      <w:r>
        <w:rPr>
          <w:rFonts w:hint="eastAsia" w:ascii="黑体" w:hAnsi="黑体" w:eastAsia="黑体" w:cs="黑体"/>
          <w:bCs/>
          <w:sz w:val="36"/>
          <w:szCs w:val="36"/>
        </w:rPr>
        <w:t>项目化学习中驱动性问题的设计的实践研究</w:t>
      </w:r>
    </w:p>
    <w:bookmarkEnd w:id="3"/>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黑体" w:hAnsi="黑体" w:eastAsia="黑体" w:cs="黑体"/>
          <w:b/>
          <w:bCs w:val="0"/>
          <w:sz w:val="24"/>
          <w:szCs w:val="24"/>
          <w:lang w:val="en-US" w:eastAsia="zh-CN"/>
        </w:rPr>
      </w:pPr>
      <w:r>
        <w:rPr>
          <w:rFonts w:hint="eastAsia" w:ascii="宋体" w:hAnsi="宋体" w:eastAsia="宋体" w:cs="Times New Roman"/>
          <w:b/>
          <w:sz w:val="24"/>
          <w:szCs w:val="24"/>
        </w:rPr>
        <w:t>【摘要】</w:t>
      </w:r>
      <w:r>
        <w:rPr>
          <w:rFonts w:hint="eastAsia" w:ascii="宋体" w:hAnsi="宋体" w:eastAsia="宋体" w:cs="宋体"/>
          <w:sz w:val="24"/>
          <w:szCs w:val="24"/>
          <w:lang w:val="en-US" w:eastAsia="zh-CN"/>
        </w:rPr>
        <w:t>项目化学习是一种以儿童为中心的探究形式，即儿童通过一段时间内对真实的、引人入胜的、复杂的问题（话题/挑战）进行探究，并从中获得关键知识和技能。</w:t>
      </w:r>
    </w:p>
    <w:p>
      <w:pPr>
        <w:pStyle w:val="10"/>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olor w:val="auto"/>
          <w:sz w:val="24"/>
          <w:szCs w:val="24"/>
          <w:lang w:eastAsia="zh-CN"/>
        </w:rPr>
      </w:pPr>
      <w:r>
        <w:rPr>
          <w:rFonts w:hint="eastAsia" w:ascii="宋体" w:hAnsi="宋体"/>
          <w:color w:val="auto"/>
          <w:sz w:val="24"/>
          <w:szCs w:val="24"/>
          <w:lang w:eastAsia="zh-CN"/>
        </w:rPr>
        <w:t>教育家朱熹说：“读书无疑者，须教有疑；有疑者，却要无疑，到这里方是长进。”这说明知识的获得应该始于问题，终于问题。在项目化学习中，驱动性问题是一个项目的“心脏”，通过问题驱动，幼儿容易对学习充满热情,有学习的内在驱动力，表现出好奇心和兴趣,积极探索与主动完成任务。</w:t>
      </w:r>
    </w:p>
    <w:p>
      <w:pPr>
        <w:pStyle w:val="10"/>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olor w:val="auto"/>
          <w:sz w:val="24"/>
          <w:szCs w:val="24"/>
          <w:lang w:eastAsia="zh-CN"/>
        </w:rPr>
      </w:pPr>
      <w:r>
        <w:rPr>
          <w:rFonts w:hint="eastAsia" w:ascii="宋体" w:hAnsi="宋体"/>
          <w:color w:val="auto"/>
          <w:sz w:val="24"/>
          <w:szCs w:val="24"/>
          <w:lang w:eastAsia="zh-CN"/>
        </w:rPr>
        <w:t>一个好的问题驱动不仅能够引起幼儿对项目的好奇心，使项目更加具有挑战性，也是项目任务设计的核心要素。幼儿正是在探究学习的过程中通过解决一个又一个问题获得知识，提高自身能力的。教师作为项目教学的组织者与管理者，应引导幼儿根据教学内容，从生活</w:t>
      </w:r>
      <w:r>
        <w:rPr>
          <w:rFonts w:hint="eastAsia" w:ascii="宋体" w:hAnsi="宋体"/>
          <w:color w:val="auto"/>
          <w:sz w:val="24"/>
          <w:szCs w:val="24"/>
          <w:lang w:val="en-US" w:eastAsia="zh-CN"/>
        </w:rPr>
        <w:t xml:space="preserve"> </w:t>
      </w:r>
      <w:r>
        <w:rPr>
          <w:rFonts w:hint="eastAsia" w:ascii="宋体" w:hAnsi="宋体"/>
          <w:color w:val="auto"/>
          <w:sz w:val="24"/>
          <w:szCs w:val="24"/>
          <w:lang w:eastAsia="zh-CN"/>
        </w:rPr>
        <w:t>实际出发，结合幼儿现有的认知水平，设计出合理的驱动性问题。</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Times New Roman"/>
          <w:b/>
          <w:sz w:val="24"/>
          <w:szCs w:val="24"/>
        </w:rPr>
        <w:t>【关键词】</w:t>
      </w:r>
      <w:r>
        <w:rPr>
          <w:rFonts w:hint="eastAsia" w:ascii="宋体" w:hAnsi="宋体" w:eastAsia="宋体" w:cs="宋体"/>
          <w:sz w:val="24"/>
          <w:szCs w:val="24"/>
          <w:lang w:val="en-US" w:eastAsia="zh-CN"/>
        </w:rPr>
        <w:t>项目化学习；驱动性问题</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20" w:firstLineChars="200"/>
        <w:jc w:val="both"/>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一、驱动性问题在</w:t>
      </w:r>
      <w:r>
        <w:rPr>
          <w:rFonts w:hint="eastAsia" w:asciiTheme="minorEastAsia" w:hAnsiTheme="minorEastAsia" w:cstheme="minorEastAsia"/>
          <w:b/>
          <w:bCs/>
          <w:sz w:val="24"/>
          <w:szCs w:val="24"/>
          <w:lang w:eastAsia="zh-CN"/>
        </w:rPr>
        <w:t>项目化</w:t>
      </w:r>
      <w:r>
        <w:rPr>
          <w:rFonts w:hint="eastAsia" w:asciiTheme="minorEastAsia" w:hAnsiTheme="minorEastAsia" w:eastAsiaTheme="minorEastAsia" w:cstheme="minorEastAsia"/>
          <w:b/>
          <w:bCs/>
          <w:sz w:val="24"/>
          <w:szCs w:val="24"/>
        </w:rPr>
        <w:t>学习中的意义与</w:t>
      </w:r>
      <w:r>
        <w:rPr>
          <w:rFonts w:hint="eastAsia" w:asciiTheme="minorEastAsia" w:hAnsiTheme="minorEastAsia" w:eastAsiaTheme="minorEastAsia" w:cstheme="minorEastAsia"/>
          <w:b/>
          <w:bCs/>
          <w:sz w:val="24"/>
          <w:szCs w:val="24"/>
          <w:lang w:eastAsia="zh-CN"/>
        </w:rPr>
        <w:t>价值</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驱动性问题是指围绕项目主题设计的、契合科学课程标准的具有凝练意义的问题，它是能够引发</w:t>
      </w:r>
      <w:r>
        <w:rPr>
          <w:rFonts w:hint="eastAsia" w:ascii="宋体" w:hAnsi="宋体" w:eastAsia="宋体" w:cs="宋体"/>
          <w:sz w:val="24"/>
          <w:szCs w:val="24"/>
          <w:lang w:eastAsia="zh-CN"/>
        </w:rPr>
        <w:t>幼儿</w:t>
      </w:r>
      <w:r>
        <w:rPr>
          <w:rFonts w:hint="eastAsia" w:ascii="宋体" w:hAnsi="宋体" w:eastAsia="宋体" w:cs="宋体"/>
          <w:sz w:val="24"/>
          <w:szCs w:val="24"/>
        </w:rPr>
        <w:t>自主探究和推动</w:t>
      </w:r>
      <w:r>
        <w:rPr>
          <w:rFonts w:hint="eastAsia" w:ascii="宋体" w:hAnsi="宋体" w:eastAsia="宋体" w:cs="宋体"/>
          <w:sz w:val="24"/>
          <w:szCs w:val="24"/>
          <w:lang w:eastAsia="zh-CN"/>
        </w:rPr>
        <w:t>幼儿</w:t>
      </w:r>
      <w:r>
        <w:rPr>
          <w:rFonts w:hint="eastAsia" w:ascii="宋体" w:hAnsi="宋体" w:eastAsia="宋体" w:cs="宋体"/>
          <w:sz w:val="24"/>
          <w:szCs w:val="24"/>
        </w:rPr>
        <w:t>问题解决的关键性问题。一个好的驱动性问题能营造一种由求知欲驱动的学习氛围，鼓励</w:t>
      </w:r>
      <w:r>
        <w:rPr>
          <w:rFonts w:hint="eastAsia" w:ascii="宋体" w:hAnsi="宋体" w:eastAsia="宋体" w:cs="宋体"/>
          <w:sz w:val="24"/>
          <w:szCs w:val="24"/>
          <w:lang w:eastAsia="zh-CN"/>
        </w:rPr>
        <w:t>幼儿</w:t>
      </w:r>
      <w:r>
        <w:rPr>
          <w:rFonts w:hint="eastAsia" w:ascii="宋体" w:hAnsi="宋体" w:eastAsia="宋体" w:cs="宋体"/>
          <w:sz w:val="24"/>
          <w:szCs w:val="24"/>
        </w:rPr>
        <w:t>积极地寻找问题的解决方案、计划和开展探究、记录和理解数据、收集证据和辩论观点、构建和共享学习成果，实现深度学习。我们可以从以下几方面来理解驱动性问题对</w:t>
      </w:r>
      <w:r>
        <w:rPr>
          <w:rFonts w:hint="eastAsia" w:ascii="宋体" w:hAnsi="宋体" w:eastAsia="宋体" w:cs="宋体"/>
          <w:sz w:val="24"/>
          <w:szCs w:val="24"/>
          <w:lang w:eastAsia="zh-CN"/>
        </w:rPr>
        <w:t>项目化</w:t>
      </w:r>
      <w:r>
        <w:rPr>
          <w:rFonts w:hint="eastAsia" w:ascii="宋体" w:hAnsi="宋体" w:eastAsia="宋体" w:cs="宋体"/>
          <w:sz w:val="24"/>
          <w:szCs w:val="24"/>
        </w:rPr>
        <w:t>学习的重要意义与价值。</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1.增强</w:t>
      </w:r>
      <w:r>
        <w:rPr>
          <w:rFonts w:hint="eastAsia" w:ascii="宋体" w:hAnsi="宋体" w:eastAsia="宋体" w:cs="宋体"/>
          <w:b/>
          <w:bCs/>
          <w:sz w:val="24"/>
          <w:szCs w:val="24"/>
          <w:lang w:eastAsia="zh-CN"/>
        </w:rPr>
        <w:t>幼儿</w:t>
      </w:r>
      <w:r>
        <w:rPr>
          <w:rFonts w:hint="eastAsia" w:ascii="宋体" w:hAnsi="宋体" w:eastAsia="宋体" w:cs="宋体"/>
          <w:b/>
          <w:bCs/>
          <w:sz w:val="24"/>
          <w:szCs w:val="24"/>
        </w:rPr>
        <w:t>学习的一致性和连贯性</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项目化</w:t>
      </w:r>
      <w:r>
        <w:rPr>
          <w:rFonts w:hint="eastAsia" w:ascii="宋体" w:hAnsi="宋体" w:eastAsia="宋体" w:cs="宋体"/>
          <w:sz w:val="24"/>
          <w:szCs w:val="24"/>
        </w:rPr>
        <w:t>学习往往由一系列教学活动组成，在教学中使用驱动性问题可以让</w:t>
      </w:r>
      <w:r>
        <w:rPr>
          <w:rFonts w:hint="eastAsia" w:ascii="宋体" w:hAnsi="宋体" w:eastAsia="宋体" w:cs="宋体"/>
          <w:sz w:val="24"/>
          <w:szCs w:val="24"/>
          <w:lang w:eastAsia="zh-CN"/>
        </w:rPr>
        <w:t>幼儿</w:t>
      </w:r>
      <w:r>
        <w:rPr>
          <w:rFonts w:hint="eastAsia" w:ascii="宋体" w:hAnsi="宋体" w:eastAsia="宋体" w:cs="宋体"/>
          <w:sz w:val="24"/>
          <w:szCs w:val="24"/>
        </w:rPr>
        <w:t>建立目的感，使他们的学习和探究始终指向目标。驱动性问题可以引领</w:t>
      </w:r>
      <w:r>
        <w:rPr>
          <w:rFonts w:hint="eastAsia" w:ascii="宋体" w:hAnsi="宋体" w:eastAsia="宋体" w:cs="宋体"/>
          <w:sz w:val="24"/>
          <w:szCs w:val="24"/>
          <w:lang w:eastAsia="zh-CN"/>
        </w:rPr>
        <w:t>幼儿</w:t>
      </w:r>
      <w:r>
        <w:rPr>
          <w:rFonts w:hint="eastAsia" w:ascii="宋体" w:hAnsi="宋体" w:eastAsia="宋体" w:cs="宋体"/>
          <w:sz w:val="24"/>
          <w:szCs w:val="24"/>
        </w:rPr>
        <w:t>将注意力始终集中在核心问题的探究与核心概念的学习上，并将概念融入科学实践，让</w:t>
      </w:r>
      <w:r>
        <w:rPr>
          <w:rFonts w:hint="eastAsia" w:ascii="宋体" w:hAnsi="宋体" w:eastAsia="宋体" w:cs="宋体"/>
          <w:sz w:val="24"/>
          <w:szCs w:val="24"/>
          <w:lang w:eastAsia="zh-CN"/>
        </w:rPr>
        <w:t>幼儿</w:t>
      </w:r>
      <w:r>
        <w:rPr>
          <w:rFonts w:hint="eastAsia" w:ascii="宋体" w:hAnsi="宋体" w:eastAsia="宋体" w:cs="宋体"/>
          <w:sz w:val="24"/>
          <w:szCs w:val="24"/>
        </w:rPr>
        <w:t>认识到每一个教学活动与核心问题的关系，从而增强</w:t>
      </w:r>
      <w:r>
        <w:rPr>
          <w:rFonts w:hint="eastAsia" w:ascii="宋体" w:hAnsi="宋体" w:eastAsia="宋体" w:cs="宋体"/>
          <w:sz w:val="24"/>
          <w:szCs w:val="24"/>
          <w:lang w:eastAsia="zh-CN"/>
        </w:rPr>
        <w:t>幼儿</w:t>
      </w:r>
      <w:r>
        <w:rPr>
          <w:rFonts w:hint="eastAsia" w:ascii="宋体" w:hAnsi="宋体" w:eastAsia="宋体" w:cs="宋体"/>
          <w:sz w:val="24"/>
          <w:szCs w:val="24"/>
        </w:rPr>
        <w:t>学习的一致性和连贯性，帮助</w:t>
      </w:r>
      <w:r>
        <w:rPr>
          <w:rFonts w:hint="eastAsia" w:ascii="宋体" w:hAnsi="宋体" w:eastAsia="宋体" w:cs="宋体"/>
          <w:sz w:val="24"/>
          <w:szCs w:val="24"/>
          <w:lang w:eastAsia="zh-CN"/>
        </w:rPr>
        <w:t>幼儿</w:t>
      </w:r>
      <w:r>
        <w:rPr>
          <w:rFonts w:hint="eastAsia" w:ascii="宋体" w:hAnsi="宋体" w:eastAsia="宋体" w:cs="宋体"/>
          <w:sz w:val="24"/>
          <w:szCs w:val="24"/>
        </w:rPr>
        <w:t>建构起科学概念之间的联系。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2.帮助</w:t>
      </w:r>
      <w:r>
        <w:rPr>
          <w:rFonts w:hint="eastAsia" w:ascii="宋体" w:hAnsi="宋体" w:eastAsia="宋体" w:cs="宋体"/>
          <w:b/>
          <w:bCs/>
          <w:sz w:val="24"/>
          <w:szCs w:val="24"/>
          <w:lang w:eastAsia="zh-CN"/>
        </w:rPr>
        <w:t>幼儿</w:t>
      </w:r>
      <w:r>
        <w:rPr>
          <w:rFonts w:hint="eastAsia" w:ascii="宋体" w:hAnsi="宋体" w:eastAsia="宋体" w:cs="宋体"/>
          <w:b/>
          <w:bCs/>
          <w:sz w:val="24"/>
          <w:szCs w:val="24"/>
        </w:rPr>
        <w:t>建立科学知识与生活的联系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科学教学中最容易出现的问题就是</w:t>
      </w:r>
      <w:r>
        <w:rPr>
          <w:rFonts w:hint="eastAsia" w:ascii="宋体" w:hAnsi="宋体" w:eastAsia="宋体" w:cs="宋体"/>
          <w:sz w:val="24"/>
          <w:szCs w:val="24"/>
          <w:lang w:eastAsia="zh-CN"/>
        </w:rPr>
        <w:t>幼儿</w:t>
      </w:r>
      <w:r>
        <w:rPr>
          <w:rFonts w:hint="eastAsia" w:ascii="宋体" w:hAnsi="宋体" w:eastAsia="宋体" w:cs="宋体"/>
          <w:sz w:val="24"/>
          <w:szCs w:val="24"/>
        </w:rPr>
        <w:t>往往只学到了书面知识，无法将科学知识与实际生活联系起来。驱动性问题是有意义的、情境化的问题，能够将</w:t>
      </w:r>
      <w:r>
        <w:rPr>
          <w:rFonts w:hint="eastAsia" w:ascii="宋体" w:hAnsi="宋体" w:eastAsia="宋体" w:cs="宋体"/>
          <w:sz w:val="24"/>
          <w:szCs w:val="24"/>
          <w:lang w:eastAsia="zh-CN"/>
        </w:rPr>
        <w:t>幼儿</w:t>
      </w:r>
      <w:r>
        <w:rPr>
          <w:rFonts w:hint="eastAsia" w:ascii="宋体" w:hAnsi="宋体" w:eastAsia="宋体" w:cs="宋体"/>
          <w:sz w:val="24"/>
          <w:szCs w:val="24"/>
        </w:rPr>
        <w:t>置于真实世界的情境中，让他们探究现实生活中的问题，搭建科学知识与实际生活的桥梁，促进</w:t>
      </w:r>
      <w:r>
        <w:rPr>
          <w:rFonts w:hint="eastAsia" w:ascii="宋体" w:hAnsi="宋体" w:eastAsia="宋体" w:cs="宋体"/>
          <w:sz w:val="24"/>
          <w:szCs w:val="24"/>
          <w:lang w:eastAsia="zh-CN"/>
        </w:rPr>
        <w:t>幼儿</w:t>
      </w:r>
      <w:r>
        <w:rPr>
          <w:rFonts w:hint="eastAsia" w:ascii="宋体" w:hAnsi="宋体" w:eastAsia="宋体" w:cs="宋体"/>
          <w:sz w:val="24"/>
          <w:szCs w:val="24"/>
        </w:rPr>
        <w:t>有意义学习的发生。</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3.提高</w:t>
      </w:r>
      <w:r>
        <w:rPr>
          <w:rFonts w:hint="eastAsia" w:ascii="宋体" w:hAnsi="宋体" w:eastAsia="宋体" w:cs="宋体"/>
          <w:b/>
          <w:bCs/>
          <w:sz w:val="24"/>
          <w:szCs w:val="24"/>
          <w:lang w:eastAsia="zh-CN"/>
        </w:rPr>
        <w:t>幼儿</w:t>
      </w:r>
      <w:r>
        <w:rPr>
          <w:rFonts w:hint="eastAsia" w:ascii="宋体" w:hAnsi="宋体" w:eastAsia="宋体" w:cs="宋体"/>
          <w:b/>
          <w:bCs/>
          <w:sz w:val="24"/>
          <w:szCs w:val="24"/>
        </w:rPr>
        <w:t>整合各学科知识的能力</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在传统教学中，学科之间具有明显的界限，</w:t>
      </w:r>
      <w:r>
        <w:rPr>
          <w:rFonts w:hint="eastAsia" w:ascii="宋体" w:hAnsi="宋体" w:eastAsia="宋体" w:cs="宋体"/>
          <w:sz w:val="24"/>
          <w:szCs w:val="24"/>
          <w:lang w:eastAsia="zh-CN"/>
        </w:rPr>
        <w:t>幼儿</w:t>
      </w:r>
      <w:r>
        <w:rPr>
          <w:rFonts w:hint="eastAsia" w:ascii="宋体" w:hAnsi="宋体" w:eastAsia="宋体" w:cs="宋体"/>
          <w:sz w:val="24"/>
          <w:szCs w:val="24"/>
        </w:rPr>
        <w:t>很难实现跨学科学习，无法实现知识的整合运用。而以驱动性问题引领的</w:t>
      </w:r>
      <w:r>
        <w:rPr>
          <w:rFonts w:hint="eastAsia" w:ascii="宋体" w:hAnsi="宋体" w:eastAsia="宋体" w:cs="宋体"/>
          <w:sz w:val="24"/>
          <w:szCs w:val="24"/>
          <w:lang w:eastAsia="zh-CN"/>
        </w:rPr>
        <w:t>项目化</w:t>
      </w:r>
      <w:r>
        <w:rPr>
          <w:rFonts w:hint="eastAsia" w:ascii="宋体" w:hAnsi="宋体" w:eastAsia="宋体" w:cs="宋体"/>
          <w:sz w:val="24"/>
          <w:szCs w:val="24"/>
        </w:rPr>
        <w:t>学习，能够建立起不同学科领域之间的联系，帮助</w:t>
      </w:r>
      <w:r>
        <w:rPr>
          <w:rFonts w:hint="eastAsia" w:ascii="宋体" w:hAnsi="宋体" w:eastAsia="宋体" w:cs="宋体"/>
          <w:sz w:val="24"/>
          <w:szCs w:val="24"/>
          <w:lang w:eastAsia="zh-CN"/>
        </w:rPr>
        <w:t>幼儿</w:t>
      </w:r>
      <w:r>
        <w:rPr>
          <w:rFonts w:hint="eastAsia" w:ascii="宋体" w:hAnsi="宋体" w:eastAsia="宋体" w:cs="宋体"/>
          <w:sz w:val="24"/>
          <w:szCs w:val="24"/>
        </w:rPr>
        <w:t>整合他们所学的各学科知识，发展过程性的认知结构，提高知识的综合运用能力。</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rPr>
        <w:t>二、设计驱动性问题时需把握的关键特征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驱动性问题是项目化学习的出发点，具有激发和组织学习活动的功能。真正的驱动性问题能够建立起与幼儿生活的联系，促进科学知识与实践的整合，支持幼儿进行深度学习。通过一学期的实践，我们认为，在确立幼儿园项目活动的驱动性问题时需考虑以下几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1.问题源于幼儿兴趣</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驱动性问题作为项目化学习开展的第一步，必须激发幼儿的好奇心和求知欲，并让幼儿在此基础上提出更多的子问题。</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【案例一：蚂蚁的秘密】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※缘起：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在主题活动《动物大世界》中，我们开展了一次集体教学活动“香香要回家”，孩子们对“蚂蚁”很感兴趣，并提出了很多问题：“蚂蚁都是黑色的吗”、“蚂蚁喜欢吃苹果吗”、“蚂蚁住在泥土里吗”……我们根据幼儿感兴趣的问题，筛选梳理出四个子项目：“蚂蚁长啥样”、“蚂蚁喜欢吃什么”、“蚂蚁住哪里”、“如何照顾蚂蚁”，幼儿只有感兴趣，才能积极、主动地投入到探究与学习中。因此，问题能否引发幼儿的兴趣是前提。</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anchor distT="0" distB="0" distL="114300" distR="114300" simplePos="0" relativeHeight="251659264" behindDoc="1" locked="0" layoutInCell="1" allowOverlap="1">
            <wp:simplePos x="0" y="0"/>
            <wp:positionH relativeFrom="column">
              <wp:posOffset>1314450</wp:posOffset>
            </wp:positionH>
            <wp:positionV relativeFrom="paragraph">
              <wp:posOffset>182245</wp:posOffset>
            </wp:positionV>
            <wp:extent cx="3141345" cy="1887220"/>
            <wp:effectExtent l="0" t="0" r="0" b="0"/>
            <wp:wrapTight wrapText="bothSides">
              <wp:wrapPolygon>
                <wp:start x="0" y="0"/>
                <wp:lineTo x="0" y="21367"/>
                <wp:lineTo x="21482" y="21367"/>
                <wp:lineTo x="21482" y="0"/>
                <wp:lineTo x="0" y="0"/>
              </wp:wrapPolygon>
            </wp:wrapTight>
            <wp:docPr id="5" name="图片 5" descr="16300658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30065805(1)"/>
                    <pic:cNvPicPr>
                      <a:picLocks noChangeAspect="1"/>
                    </pic:cNvPicPr>
                  </pic:nvPicPr>
                  <pic:blipFill>
                    <a:blip r:embed="rId4"/>
                    <a:srcRect t="3078"/>
                    <a:stretch>
                      <a:fillRect/>
                    </a:stretch>
                  </pic:blipFill>
                  <pic:spPr>
                    <a:xfrm>
                      <a:off x="0" y="0"/>
                      <a:ext cx="3141345" cy="18872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※项目进程：</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658"/>
        <w:gridCol w:w="5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序号</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步骤环节</w:t>
            </w:r>
          </w:p>
        </w:tc>
        <w:tc>
          <w:tcPr>
            <w:tcW w:w="5603"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活动内容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1</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提出问题</w:t>
            </w:r>
          </w:p>
        </w:tc>
        <w:tc>
          <w:tcPr>
            <w:tcW w:w="5603" w:type="dxa"/>
          </w:tcPr>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萱萱：蚂蚁是通过闻味道认出香香，那蚂蚁有眼睛吗？</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成成：蚂蚁喜欢吃什么？</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蓝蓝：香香的家在地下，其他蚂蚁的家也都在地下吗？</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艺艺：蚂蚁的家会是什么样的呀……</w:t>
            </w:r>
          </w:p>
          <w:p>
            <w:pPr>
              <w:widowControl/>
              <w:spacing w:line="400" w:lineRule="exact"/>
              <w:ind w:firstLine="480" w:firstLineChars="200"/>
              <w:rPr>
                <w:rFonts w:ascii="楷体" w:hAnsi="楷体" w:eastAsia="楷体" w:cs="Times New Roman"/>
                <w:kern w:val="0"/>
                <w:sz w:val="24"/>
                <w:szCs w:val="24"/>
              </w:rPr>
            </w:pPr>
            <w:r>
              <w:rPr>
                <w:rFonts w:hint="eastAsia" w:ascii="楷体" w:hAnsi="楷体" w:eastAsia="楷体" w:cs="Times New Roman"/>
                <w:kern w:val="0"/>
                <w:sz w:val="24"/>
                <w:szCs w:val="24"/>
              </w:rPr>
              <w:t>“蚂蚁”成了近期班里幼儿共同感兴趣的话题。通过对幼儿讨论内容的整理，幼儿对蚂蚁的好奇主要集中于 “蚂蚁长啥样”“蚂蚁住哪里”“蚂蚁吃什么” 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2</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做出假设</w:t>
            </w:r>
          </w:p>
        </w:tc>
        <w:tc>
          <w:tcPr>
            <w:tcW w:w="5603" w:type="dxa"/>
          </w:tcPr>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在探索蚂蚁吃什么时，大家一起猜测蚂蚁喜欢吃的食物：有的孩子说蚂蚁可能喜欢吃水果；有的孩子说蚂蚁喜欢吃饼干；有的孩子说蚂蚁喜欢吃辣椒……</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在老师的引导下，孩子们把这些食物都记录下来，准备进行实验。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3</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制定计划</w:t>
            </w:r>
          </w:p>
        </w:tc>
        <w:tc>
          <w:tcPr>
            <w:tcW w:w="5603" w:type="dxa"/>
          </w:tcPr>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选择自己感兴趣的项目内容，分组进行实验。成立了“水果组”、“饼干组”、“巧克力组”、“辣椒组”……外出寻找蚂蚁，投放食材，观察蚂蚁是否喜欢吃，并做好记录。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4</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实施计划</w:t>
            </w:r>
          </w:p>
        </w:tc>
        <w:tc>
          <w:tcPr>
            <w:tcW w:w="5603" w:type="dxa"/>
          </w:tcPr>
          <w:p>
            <w:pPr>
              <w:widowControl/>
              <w:spacing w:line="400" w:lineRule="exact"/>
              <w:ind w:firstLine="480" w:firstLineChars="200"/>
              <w:rPr>
                <w:rFonts w:ascii="楷体" w:hAnsi="楷体" w:eastAsia="楷体" w:cs="Times New Roman"/>
                <w:kern w:val="0"/>
                <w:sz w:val="24"/>
                <w:szCs w:val="24"/>
              </w:rPr>
            </w:pPr>
            <w:r>
              <w:rPr>
                <w:rFonts w:hint="eastAsia" w:ascii="楷体" w:hAnsi="楷体" w:eastAsia="楷体" w:cs="Times New Roman"/>
                <w:kern w:val="0"/>
                <w:sz w:val="24"/>
                <w:szCs w:val="24"/>
              </w:rPr>
              <w:t>孩子们带着自己小组猜测的食材，到小花园、操场、小山坡等地方去寻找蚂蚁，并投放食材，观察蚂蚁是否会吃这些食物，并做好记录。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5</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交流分享</w:t>
            </w:r>
          </w:p>
        </w:tc>
        <w:tc>
          <w:tcPr>
            <w:tcW w:w="5603" w:type="dxa"/>
          </w:tcPr>
          <w:p>
            <w:pPr>
              <w:widowControl/>
              <w:spacing w:line="400" w:lineRule="exact"/>
              <w:ind w:firstLine="480" w:firstLineChars="200"/>
              <w:rPr>
                <w:rFonts w:ascii="楷体" w:hAnsi="楷体" w:eastAsia="楷体" w:cs="Times New Roman"/>
                <w:kern w:val="0"/>
                <w:sz w:val="24"/>
                <w:szCs w:val="24"/>
              </w:rPr>
            </w:pPr>
            <w:r>
              <w:rPr>
                <w:rFonts w:hint="eastAsia" w:ascii="楷体" w:hAnsi="楷体" w:eastAsia="楷体" w:cs="楷体"/>
                <w:kern w:val="0"/>
                <w:sz w:val="24"/>
                <w:szCs w:val="24"/>
              </w:rPr>
              <w:t>小组分享、交流自己组的实验过程和实验结果，变小组经验为集体经验。</w:t>
            </w:r>
          </w:p>
        </w:tc>
      </w:tr>
    </w:tbl>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【案例二：蜘蛛的秘密】</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※缘起：</w:t>
      </w:r>
    </w:p>
    <w:p>
      <w:pPr>
        <w:spacing w:line="400" w:lineRule="exact"/>
        <w:ind w:firstLine="480" w:firstLineChars="200"/>
        <w:rPr>
          <w:rFonts w:ascii="楷体" w:hAnsi="楷体" w:eastAsia="楷体" w:cs="楷体"/>
          <w:sz w:val="24"/>
          <w:szCs w:val="24"/>
        </w:rPr>
      </w:pPr>
      <w:r>
        <w:rPr>
          <w:rFonts w:hint="eastAsia" w:ascii="楷体" w:hAnsi="楷体" w:eastAsia="楷体" w:cs="楷体"/>
          <w:kern w:val="0"/>
          <w:sz w:val="24"/>
          <w:szCs w:val="24"/>
        </w:rPr>
        <w:t>有一天中午吃好午餐，几个孩子蹲在走廊里讨论着什么，我走过去一看，原来是有一只蜘蛛在地上爬，“蜘蛛有毒的，不要动”“蜘蛛是吃虫子的，是好的”“蜘蛛怎么这么小啊”……对蜘蛛的兴趣越来越浓，于是，“探秘蜘蛛”的活动应运而生……</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※项目进程：</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658"/>
        <w:gridCol w:w="5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序号</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步骤环节</w:t>
            </w:r>
          </w:p>
        </w:tc>
        <w:tc>
          <w:tcPr>
            <w:tcW w:w="5603"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活动内容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1</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提出问题</w:t>
            </w:r>
          </w:p>
        </w:tc>
        <w:tc>
          <w:tcPr>
            <w:tcW w:w="5603" w:type="dxa"/>
          </w:tcPr>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蜘蛛有眼睛吗？</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蜘蛛有毒吗？</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为什么蜘蛛会吐丝？</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为什么蜘蛛网能捉住虫子？</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2</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做出假设</w:t>
            </w:r>
          </w:p>
        </w:tc>
        <w:tc>
          <w:tcPr>
            <w:tcW w:w="5603" w:type="dxa"/>
          </w:tcPr>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对蜘蛛为什么会吐丝的猜测：</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依依：蜘蛛肚子里有很丝，所以可以吐；</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恒恒：丝蜘蛛和蚕宝宝一样吃了桑叶就会吐丝；</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君君：蜘蛛吐的丝是口水；</w:t>
            </w:r>
          </w:p>
          <w:p>
            <w:pPr>
              <w:spacing w:line="400" w:lineRule="exact"/>
              <w:ind w:firstLine="480" w:firstLineChars="200"/>
              <w:rPr>
                <w:rFonts w:ascii="楷体" w:hAnsi="楷体" w:eastAsia="楷体" w:cs="Times New Roman"/>
                <w:sz w:val="24"/>
                <w:szCs w:val="24"/>
              </w:rPr>
            </w:pPr>
            <w:r>
              <w:rPr>
                <w:rFonts w:hint="eastAsia" w:ascii="楷体" w:hAnsi="楷体" w:eastAsia="楷体" w:cs="楷体"/>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3</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制定计划</w:t>
            </w:r>
          </w:p>
        </w:tc>
        <w:tc>
          <w:tcPr>
            <w:tcW w:w="5603" w:type="dxa"/>
          </w:tcPr>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引导幼儿设计调查表《蜘蛛的秘密》——关于“蜘蛛”我想知道什么？围绕自己的兴趣和思考，寻找、收集关于蜘蛛的资料带来幼儿园，可以是图片式、绘画式、书籍、视频……</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收集什么资料？——明确收集内容、方法</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去哪里找？——拓宽收集途径（实地考察、网络查阅、书刊阅读、与成人交流讨论）</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如何分工？——灵活选择个体、小组、亲子形式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4</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实施计划</w:t>
            </w:r>
          </w:p>
        </w:tc>
        <w:tc>
          <w:tcPr>
            <w:tcW w:w="5603" w:type="dxa"/>
          </w:tcPr>
          <w:p>
            <w:pPr>
              <w:widowControl/>
              <w:spacing w:line="400" w:lineRule="exact"/>
              <w:ind w:firstLine="480" w:firstLineChars="200"/>
              <w:rPr>
                <w:rFonts w:ascii="楷体" w:hAnsi="楷体" w:eastAsia="楷体" w:cs="Times New Roman"/>
                <w:kern w:val="0"/>
                <w:sz w:val="24"/>
                <w:szCs w:val="24"/>
              </w:rPr>
            </w:pPr>
            <w:r>
              <w:rPr>
                <w:rFonts w:hint="eastAsia" w:ascii="楷体" w:hAnsi="楷体" w:eastAsia="楷体" w:cs="Times New Roman"/>
                <w:kern w:val="0"/>
                <w:sz w:val="24"/>
                <w:szCs w:val="24"/>
              </w:rPr>
              <w:t>根据收集计划，孩子们开始收集相关信息和资料，不久，孩子们带来了关于蜘蛛的图片等打印资料，如欣欣带来了一本《昆虫和蜘蛛》的图书，骏骏把和爸爸妈妈一起实地寻找到的蜘蛛或蜘蛛网拍照或记录，观察蜘蛛和蜘蛛网的样子，并记录下来自己的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5</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交流分享</w:t>
            </w:r>
          </w:p>
        </w:tc>
        <w:tc>
          <w:tcPr>
            <w:tcW w:w="5603" w:type="dxa"/>
          </w:tcPr>
          <w:p>
            <w:pPr>
              <w:widowControl/>
              <w:spacing w:line="400" w:lineRule="exact"/>
              <w:ind w:firstLine="480" w:firstLineChars="200"/>
              <w:rPr>
                <w:rFonts w:ascii="楷体" w:hAnsi="楷体" w:eastAsia="楷体" w:cs="Times New Roman"/>
                <w:kern w:val="0"/>
                <w:sz w:val="24"/>
                <w:szCs w:val="24"/>
              </w:rPr>
            </w:pPr>
            <w:r>
              <w:rPr>
                <w:rFonts w:hint="eastAsia" w:ascii="楷体" w:hAnsi="楷体" w:eastAsia="楷体" w:cs="Times New Roman"/>
                <w:kern w:val="0"/>
                <w:sz w:val="24"/>
                <w:szCs w:val="24"/>
              </w:rPr>
              <w:t>分享自己收集资料的经验，变个人经验为集体经验，积累经验。</w:t>
            </w:r>
          </w:p>
        </w:tc>
      </w:tr>
    </w:tbl>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2.问题基于真实情境</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真实的问题情境能让幼儿发现规律，寻找答案，积累经验，真正得到发展。驱动性问题一般是基于真实世界的议题提出，让幼儿能够在与他们生活息息相关的真实情境中进行探究，并会对他们的日常生活产生影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【案例三：蚕豆宝宝倒了】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※缘起：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一天自由活动时，在走廊玩的孩子们突然跑来和我说，“陆老师，蚕豆宝宝死掉了？”“不是死掉了，是歪倒了！”“蚕豆宝宝长的太长了，所以歪倒了！”俊俊说：“我们要想个办法把蚕豆宝宝扶起来！” 于是乎“蚕豆宝宝“站”起来”这一项目活动悄然展开……在探究“如何让蚕豆宝宝“站”起来”这个驱动性问题时，孩子们从教室甚至是家里找来了各种废旧材料，绳子、吸管、小树枝……开始帮助蚕豆宝宝“站”起来的方法，从而建立起与真实世界的联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anchor distT="0" distB="0" distL="114300" distR="114300" simplePos="0" relativeHeight="251660288" behindDoc="1" locked="0" layoutInCell="1" allowOverlap="1">
            <wp:simplePos x="0" y="0"/>
            <wp:positionH relativeFrom="column">
              <wp:posOffset>2809240</wp:posOffset>
            </wp:positionH>
            <wp:positionV relativeFrom="paragraph">
              <wp:posOffset>140970</wp:posOffset>
            </wp:positionV>
            <wp:extent cx="1696085" cy="1641475"/>
            <wp:effectExtent l="0" t="0" r="0" b="0"/>
            <wp:wrapTight wrapText="bothSides">
              <wp:wrapPolygon>
                <wp:start x="0" y="0"/>
                <wp:lineTo x="0" y="21308"/>
                <wp:lineTo x="21349" y="21308"/>
                <wp:lineTo x="21349" y="0"/>
                <wp:lineTo x="0" y="0"/>
              </wp:wrapPolygon>
            </wp:wrapTight>
            <wp:docPr id="7" name="图片 7" descr="微信图片_2021082720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10827202501"/>
                    <pic:cNvPicPr>
                      <a:picLocks noChangeAspect="1"/>
                    </pic:cNvPicPr>
                  </pic:nvPicPr>
                  <pic:blipFill>
                    <a:blip r:embed="rId5"/>
                    <a:srcRect l="49557" r="4372" b="44662"/>
                    <a:stretch>
                      <a:fillRect/>
                    </a:stretch>
                  </pic:blipFill>
                  <pic:spPr>
                    <a:xfrm>
                      <a:off x="0" y="0"/>
                      <a:ext cx="1696085" cy="1641475"/>
                    </a:xfrm>
                    <a:prstGeom prst="rect">
                      <a:avLst/>
                    </a:prstGeom>
                    <a:noFill/>
                    <a:ln>
                      <a:noFill/>
                    </a:ln>
                  </pic:spPr>
                </pic:pic>
              </a:graphicData>
            </a:graphic>
          </wp:anchor>
        </w:drawing>
      </w:r>
      <w:r>
        <w:rPr>
          <w:rFonts w:hint="eastAsia" w:ascii="宋体" w:hAnsi="宋体" w:eastAsia="宋体" w:cs="宋体"/>
          <w:sz w:val="24"/>
          <w:szCs w:val="24"/>
          <w:lang w:val="en-US" w:eastAsia="zh-CN"/>
        </w:rPr>
        <w:drawing>
          <wp:anchor distT="0" distB="0" distL="114300" distR="114300" simplePos="0" relativeHeight="251661312" behindDoc="1" locked="0" layoutInCell="1" allowOverlap="1">
            <wp:simplePos x="0" y="0"/>
            <wp:positionH relativeFrom="column">
              <wp:posOffset>372110</wp:posOffset>
            </wp:positionH>
            <wp:positionV relativeFrom="paragraph">
              <wp:posOffset>128270</wp:posOffset>
            </wp:positionV>
            <wp:extent cx="1942465" cy="1680210"/>
            <wp:effectExtent l="0" t="0" r="635" b="15240"/>
            <wp:wrapTight wrapText="bothSides">
              <wp:wrapPolygon>
                <wp:start x="0" y="0"/>
                <wp:lineTo x="0" y="21306"/>
                <wp:lineTo x="21395" y="21306"/>
                <wp:lineTo x="21395" y="0"/>
                <wp:lineTo x="0" y="0"/>
              </wp:wrapPolygon>
            </wp:wrapTight>
            <wp:docPr id="6" name="图片 6" descr="微信图片_2021082720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10827202205"/>
                    <pic:cNvPicPr>
                      <a:picLocks noChangeAspect="1"/>
                    </pic:cNvPicPr>
                  </pic:nvPicPr>
                  <pic:blipFill>
                    <a:blip r:embed="rId6"/>
                    <a:stretch>
                      <a:fillRect/>
                    </a:stretch>
                  </pic:blipFill>
                  <pic:spPr>
                    <a:xfrm>
                      <a:off x="0" y="0"/>
                      <a:ext cx="1942465" cy="1680210"/>
                    </a:xfrm>
                    <a:prstGeom prst="rect">
                      <a:avLst/>
                    </a:prstGeom>
                    <a:noFill/>
                    <a:ln>
                      <a:noFill/>
                    </a:ln>
                  </pic:spPr>
                </pic:pic>
              </a:graphicData>
            </a:graphic>
          </wp:anchor>
        </w:drawing>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anchor distT="0" distB="0" distL="114300" distR="114300" simplePos="0" relativeHeight="251662336" behindDoc="1" locked="0" layoutInCell="1" allowOverlap="1">
            <wp:simplePos x="0" y="0"/>
            <wp:positionH relativeFrom="column">
              <wp:posOffset>1380490</wp:posOffset>
            </wp:positionH>
            <wp:positionV relativeFrom="paragraph">
              <wp:posOffset>92075</wp:posOffset>
            </wp:positionV>
            <wp:extent cx="2392680" cy="2280920"/>
            <wp:effectExtent l="0" t="0" r="7620" b="5080"/>
            <wp:wrapTight wrapText="bothSides">
              <wp:wrapPolygon>
                <wp:start x="0" y="0"/>
                <wp:lineTo x="0" y="21468"/>
                <wp:lineTo x="21497" y="21468"/>
                <wp:lineTo x="21497" y="0"/>
                <wp:lineTo x="0" y="0"/>
              </wp:wrapPolygon>
            </wp:wrapTight>
            <wp:docPr id="1" name="图片 1" descr="微信图片_2021082720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827201654"/>
                    <pic:cNvPicPr>
                      <a:picLocks noChangeAspect="1"/>
                    </pic:cNvPicPr>
                  </pic:nvPicPr>
                  <pic:blipFill>
                    <a:blip r:embed="rId7"/>
                    <a:stretch>
                      <a:fillRect/>
                    </a:stretch>
                  </pic:blipFill>
                  <pic:spPr>
                    <a:xfrm>
                      <a:off x="0" y="0"/>
                      <a:ext cx="2392680" cy="22809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p>
    <w:p>
      <w:pPr>
        <w:tabs>
          <w:tab w:val="left" w:pos="1305"/>
        </w:tabs>
        <w:snapToGrid w:val="0"/>
        <w:spacing w:line="400" w:lineRule="exact"/>
        <w:jc w:val="left"/>
        <w:rPr>
          <w:rFonts w:hint="eastAsia" w:ascii="楷体" w:hAnsi="楷体" w:eastAsia="楷体" w:cs="Times New Roman"/>
          <w:sz w:val="24"/>
          <w:szCs w:val="24"/>
        </w:rPr>
      </w:pP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※项目进程：</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658"/>
        <w:gridCol w:w="5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序号</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步骤环节</w:t>
            </w:r>
          </w:p>
        </w:tc>
        <w:tc>
          <w:tcPr>
            <w:tcW w:w="5603"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活动内容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1</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提出问题</w:t>
            </w:r>
          </w:p>
        </w:tc>
        <w:tc>
          <w:tcPr>
            <w:tcW w:w="5603" w:type="dxa"/>
          </w:tcPr>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蚕豆宝宝死掉了吗？</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为什么蚕豆宝宝倒了？</w:t>
            </w:r>
          </w:p>
          <w:p>
            <w:pPr>
              <w:spacing w:line="4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怎么帮助蚕豆宝宝“站”起来？</w:t>
            </w:r>
          </w:p>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2</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做出假设</w:t>
            </w:r>
          </w:p>
        </w:tc>
        <w:tc>
          <w:tcPr>
            <w:tcW w:w="5603" w:type="dxa"/>
          </w:tcPr>
          <w:p>
            <w:pPr>
              <w:spacing w:line="400" w:lineRule="exact"/>
              <w:ind w:firstLine="480" w:firstLineChars="200"/>
              <w:rPr>
                <w:rFonts w:ascii="楷体" w:hAnsi="楷体" w:eastAsia="楷体" w:cs="Times New Roman"/>
                <w:sz w:val="24"/>
                <w:szCs w:val="24"/>
              </w:rPr>
            </w:pPr>
            <w:r>
              <w:rPr>
                <w:rFonts w:hint="eastAsia" w:ascii="楷体" w:hAnsi="楷体" w:eastAsia="楷体" w:cs="楷体"/>
                <w:kern w:val="0"/>
                <w:sz w:val="24"/>
                <w:szCs w:val="24"/>
              </w:rPr>
              <w:t>孩子们想到了不同的方法。成成说可以用绳子把蚕豆宝宝绑起来；俊俊提议可以用橡皮筋把蚕豆宝宝绑起来；萱萱想到了找跟吸管，然后再用绳子绑起来……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3</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制定计划</w:t>
            </w:r>
          </w:p>
        </w:tc>
        <w:tc>
          <w:tcPr>
            <w:tcW w:w="5603" w:type="dxa"/>
          </w:tcPr>
          <w:p>
            <w:pPr>
              <w:tabs>
                <w:tab w:val="left" w:pos="1305"/>
              </w:tabs>
              <w:snapToGrid w:val="0"/>
              <w:spacing w:line="400" w:lineRule="exact"/>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孩子们在教室的低结构材料区寻找所需的材料：木筷、彩色吸管、树枝、细竹子、麻绳、橡皮筋、扭扭棒……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4</w:t>
            </w:r>
          </w:p>
        </w:tc>
        <w:tc>
          <w:tcPr>
            <w:tcW w:w="1658" w:type="dxa"/>
          </w:tcPr>
          <w:p>
            <w:pPr>
              <w:tabs>
                <w:tab w:val="left" w:pos="1305"/>
              </w:tabs>
              <w:snapToGrid w:val="0"/>
              <w:spacing w:line="400" w:lineRule="exact"/>
              <w:jc w:val="center"/>
              <w:rPr>
                <w:rFonts w:ascii="楷体" w:hAnsi="楷体" w:eastAsia="楷体" w:cs="Times New Roman"/>
                <w:sz w:val="24"/>
                <w:szCs w:val="24"/>
              </w:rPr>
            </w:pPr>
            <w:r>
              <w:rPr>
                <w:rFonts w:hint="eastAsia" w:ascii="楷体" w:hAnsi="楷体" w:eastAsia="楷体" w:cs="Times New Roman"/>
                <w:sz w:val="24"/>
                <w:szCs w:val="24"/>
              </w:rPr>
              <w:t>实施计划</w:t>
            </w:r>
          </w:p>
        </w:tc>
        <w:tc>
          <w:tcPr>
            <w:tcW w:w="5603" w:type="dxa"/>
          </w:tcPr>
          <w:p>
            <w:pPr>
              <w:widowControl/>
              <w:spacing w:line="400" w:lineRule="exact"/>
              <w:ind w:firstLine="480" w:firstLineChars="200"/>
              <w:rPr>
                <w:rFonts w:ascii="楷体" w:hAnsi="楷体" w:eastAsia="楷体" w:cs="Times New Roman"/>
                <w:kern w:val="0"/>
                <w:sz w:val="24"/>
                <w:szCs w:val="24"/>
              </w:rPr>
            </w:pPr>
            <w:r>
              <w:rPr>
                <w:rFonts w:hint="eastAsia" w:ascii="楷体" w:hAnsi="楷体" w:eastAsia="楷体" w:cs="Times New Roman"/>
                <w:kern w:val="0"/>
                <w:sz w:val="24"/>
                <w:szCs w:val="24"/>
              </w:rPr>
              <w:t>利用木筷、彩色吸管、树枝、细竹子、麻绳、橡皮筋、扭扭棒等材料帮助蚕豆宝宝“站”起来。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5</w:t>
            </w:r>
          </w:p>
        </w:tc>
        <w:tc>
          <w:tcPr>
            <w:tcW w:w="1658" w:type="dxa"/>
          </w:tcPr>
          <w:p>
            <w:pPr>
              <w:widowControl/>
              <w:spacing w:line="400" w:lineRule="exact"/>
              <w:jc w:val="center"/>
              <w:rPr>
                <w:rFonts w:ascii="楷体" w:hAnsi="楷体" w:eastAsia="楷体" w:cs="Times New Roman"/>
                <w:kern w:val="0"/>
                <w:sz w:val="24"/>
                <w:szCs w:val="24"/>
              </w:rPr>
            </w:pPr>
            <w:r>
              <w:rPr>
                <w:rFonts w:hint="eastAsia" w:ascii="楷体" w:hAnsi="楷体" w:eastAsia="楷体" w:cs="Times New Roman"/>
                <w:kern w:val="0"/>
                <w:sz w:val="24"/>
                <w:szCs w:val="24"/>
              </w:rPr>
              <w:t>交流分享</w:t>
            </w:r>
          </w:p>
        </w:tc>
        <w:tc>
          <w:tcPr>
            <w:tcW w:w="5603" w:type="dxa"/>
          </w:tcPr>
          <w:p>
            <w:pPr>
              <w:widowControl/>
              <w:spacing w:line="400" w:lineRule="exact"/>
              <w:ind w:firstLine="480" w:firstLineChars="200"/>
              <w:rPr>
                <w:rFonts w:ascii="楷体" w:hAnsi="楷体" w:eastAsia="楷体" w:cs="Times New Roman"/>
                <w:kern w:val="0"/>
                <w:sz w:val="24"/>
                <w:szCs w:val="24"/>
              </w:rPr>
            </w:pPr>
            <w:r>
              <w:rPr>
                <w:rFonts w:hint="eastAsia" w:ascii="楷体" w:hAnsi="楷体" w:eastAsia="楷体" w:cs="Times New Roman"/>
                <w:kern w:val="0"/>
                <w:sz w:val="24"/>
                <w:szCs w:val="24"/>
              </w:rPr>
              <w:t>介绍自己在探究过程中的经验或遇到的困难（绑好了蚕豆还是会倒），集体一起帮忙解决困难（要绑的位置要高一点）</w:t>
            </w:r>
          </w:p>
        </w:tc>
      </w:tr>
    </w:tbl>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3.问题呈现多种可能</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驱动性问题是开放性的，因而应该确保它的设计不应该停留在以“是”或“不是”就能回答的层面。问题解决的结果呈现有各种可能，需要幼儿去发现信息、梳理经验，根据自己的推理判断，提出自己的观点，同时也需要幼儿发挥想象力与创造力。</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如在开展“我要上小学”的主题活动过程中，孩子们结合自己的生活经验，提出了许多问题，我们从孩子众多的问题中选择了“幼儿园与小学哪里不一样”作为驱动性问题。孩子们先要想出各种可能性，接着为了解决这个问题去了解小学的环境设施、小学生的作息时间等内容，最后提出自己的观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案例四：我的书包里有什么？】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※缘起：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eastAsia="zh-CN"/>
        </w:rPr>
      </w:pPr>
      <w:r>
        <w:rPr>
          <w:rFonts w:hint="eastAsia" w:ascii="楷体" w:hAnsi="楷体" w:eastAsia="楷体" w:cs="楷体"/>
          <w:sz w:val="24"/>
          <w:szCs w:val="24"/>
          <w:lang w:val="en-US" w:eastAsia="zh-CN"/>
        </w:rPr>
        <w:t>在一次自由活动时</w:t>
      </w:r>
      <w:r>
        <w:rPr>
          <w:rFonts w:hint="eastAsia" w:ascii="楷体" w:hAnsi="楷体" w:eastAsia="楷体" w:cs="楷体"/>
          <w:sz w:val="24"/>
          <w:szCs w:val="24"/>
          <w:lang w:eastAsia="zh-CN"/>
        </w:rPr>
        <w:t>，孩子们围在一起讨论着什么。只听见一个孩子说：“我妈妈给我买了一个新书包，妈妈说我马上就要上小学了。”“我也有一个小书包，我的书包是粉色的……”“我的书包是有好多个大口袋的……”孩子们立马叽叽喳喳地议论开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楷体" w:hAnsi="楷体" w:eastAsia="楷体" w:cs="楷体"/>
          <w:sz w:val="24"/>
          <w:szCs w:val="24"/>
          <w:lang w:val="en-US" w:eastAsia="zh-CN"/>
        </w:rPr>
      </w:pPr>
      <w:r>
        <w:rPr>
          <w:rFonts w:hint="eastAsia" w:ascii="楷体" w:hAnsi="楷体" w:eastAsia="楷体" w:cs="楷体"/>
          <w:sz w:val="24"/>
          <w:szCs w:val="24"/>
          <w:lang w:eastAsia="zh-CN"/>
        </w:rPr>
        <w:t xml:space="preserve">    抓住这一契机，我们进行了一次“书包大探秘”，老师随即把问题抛给他们：“那关于书包，你们有什么问题想问的问题吗？”孩子们思考了一会，有的问：“书包里可以装什么，可以装零食吗？”有的问：“小学里有那么多书，我们该怎么整理书包呢？”还有的问：“所有的书包都是一样的吗？”……关于书包，孩子们提出了自己的想法。</w:t>
      </w:r>
      <w:r>
        <w:rPr>
          <w:rFonts w:hint="eastAsia" w:ascii="楷体" w:hAnsi="楷体" w:eastAsia="楷体" w:cs="楷体"/>
          <w:sz w:val="24"/>
          <w:szCs w:val="24"/>
          <w:lang w:val="en-US" w:eastAsia="zh-CN"/>
        </w:rPr>
        <w:t>根据幼儿的问题，以“我的书包里有什么？”为驱动性问题，开展了一次项目化学习。</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4.问题具有可探究性</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好的驱动性问题能够维持幼儿的兴趣和注意力，让幼儿长时间地参与到问题解决的过程中，并且鼓励幼儿进行更深入、更广泛的学习和探究。因此，这个问题必须具有可探究的空间，需要幼儿通过多方收集信息、多次尝试、深度探究才能解决。</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【案例五：可爱的菇菇】</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※缘起：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小朋友们在餐后散步的时候，发现在大树的树干上有好多的小菇菇，长的非常可爱，于是，大家起了种菇菇的念头。可是“菇菇是不是都长在树干上吗？菇菇怎么种呢？可以种在哪里呢？是不是只要浇水就可以了呢……”带着这些孩子们感兴趣的问题，大家开始了研究，第二天就把寻找的答案和大家一起分享。</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在宝贝们的精心照料下，菌菇已经长大成熟，到了该收割的时候了，可孩子们对于自己的劳动成果却舍不得下手，“老师，菌菇割了还会长吗？”带着孩子们提出的这个问题我们又开展了探究，上网查询资料，和孩子们一起去实践验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晨晨：下雨天，我们将蘑菇放在室外，让它喝饱水。</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大博：每天都要给他浇水！</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轩轩：在上面放纸巾，喷水，让他保温。</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芯芯：可以在上面放一点营养土再浇水。</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经过了一段时间，菌菇们真的又长出来了，孩子们也高兴极了。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经过前期调查，孩子们知道了菇菇们不喜欢太阳，喜欢潮湿，所以骏骏担心太阳太大，照在菌菇上会被晒死。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骏骏：“老师，太阳太大了，菇菇会被晒死的。”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乐乐：“我们把它搬到教室里。”</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凡凡：“不如我们帮它们搭个房子吧！”</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师</w:t>
      </w:r>
      <w:bookmarkStart w:id="0" w:name="_Hlk101279154"/>
      <w:r>
        <w:rPr>
          <w:rFonts w:hint="eastAsia" w:ascii="楷体" w:hAnsi="楷体" w:eastAsia="楷体" w:cs="楷体"/>
          <w:sz w:val="24"/>
          <w:szCs w:val="24"/>
          <w:lang w:val="en-US" w:eastAsia="zh-CN"/>
        </w:rPr>
        <w:t>：</w:t>
      </w:r>
      <w:bookmarkEnd w:id="0"/>
      <w:r>
        <w:rPr>
          <w:rFonts w:hint="eastAsia" w:ascii="楷体" w:hAnsi="楷体" w:eastAsia="楷体" w:cs="楷体"/>
          <w:sz w:val="24"/>
          <w:szCs w:val="24"/>
          <w:lang w:val="en-US" w:eastAsia="zh-CN"/>
        </w:rPr>
        <w:t>“怎么搭呢？用什么材料搭呢？”</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“手工纸、箱子、木头、砖头……”孩子们议论纷纷。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师：“有些材料需要大人帮忙，哪些是我们自己可以做的？”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念念：“我们可以用小箱子做。”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庄庄：“可以用小伞遮着。”……</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师：“好，那我们就先准备材料，然后开始行动！”……</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教师基于幼儿散步时发现的菌菇的兴趣点，追随幼儿开始了“菇菇之旅”。随着菌菇的长大成熟，到了收割的时候，提出的有价值的驱动性问题“菌菇割了还会长吗？”，老师也及时进行引导和帮助，让幼儿再次通过自己的实践，去寻找答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基于以上各个要素，我们认为，在选择驱动性问题时教师需要在项目化活动开展的过程中聆听幼儿的声音，捕捉幼儿的兴趣，了解幼儿的需求，更重要的是对幼儿感兴趣的众多问题作出价值判断，选取其中有价值的、可探究的问题作为驱动性问题。</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在</w:t>
      </w:r>
      <w:r>
        <w:rPr>
          <w:rFonts w:hint="eastAsia" w:ascii="宋体" w:hAnsi="宋体" w:eastAsia="宋体" w:cs="宋体"/>
          <w:b/>
          <w:bCs/>
          <w:sz w:val="24"/>
          <w:szCs w:val="24"/>
          <w:lang w:eastAsia="zh-CN"/>
        </w:rPr>
        <w:t>项目化</w:t>
      </w:r>
      <w:r>
        <w:rPr>
          <w:rFonts w:hint="eastAsia" w:ascii="宋体" w:hAnsi="宋体" w:eastAsia="宋体" w:cs="宋体"/>
          <w:b/>
          <w:bCs/>
          <w:sz w:val="24"/>
          <w:szCs w:val="24"/>
        </w:rPr>
        <w:t>学习中设计驱动性问题的方法</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要设计出高质量的驱动性问题，教师需要把握课程目标，明确核心概念和概念间的联系，对幼儿的已有知识和经验有一定的认识，关注幼儿科学素养和学科能力，并掌握一定的问题设计的方法与策略。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1.教师预设的内容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教师需要从教育目标出发，分析并确定幼儿需掌握的核心概念。如《我要上小学》的主题活动，在主题进行中我们梳理核心经验的认知和能力方面：了解小学（发现差异、积累经验）。我们在深入解读核心经验，分析出可以从很多方面进行开展，比如对小学的校舍、环境、时间、一日活动等方面都可以积累经验，我们将这些核心经验细化成可操作、可实践的内容，并根据幼儿兴趣选择“小学是什么样的？”、“幼儿园和小学有什么不一样”等细化内容作为学习重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教师可以通过倾听幼儿的想法、了解幼儿的兴趣来设计驱动性问题。例如，在《有用的植物》主题活动中，我观察到很多幼儿不知道蔬菜的食用部位，那么“蔬菜吃什么部位”就可以作为项目的驱动性问题。教师可以在平日使用记录本随时记录幼儿提到的问题和想法，与同事交流、研讨等途径也能帮助教师积累更多的经验和资源。另外，相关的科学丛书、科学网站、当下的时事新闻、热点话题等也能为教师设计驱动性问题提供帮助。</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教师帮助幼儿将他们已有知识经验、想法或疑问转变成想要探究的驱动性问题。例如，在开展《我要上小学》的主题活动中，幼儿通过三年的幼儿园生活，已经知道了幼儿园里的环境设施，知道了幼儿园的一日作息时间等生活经验，那么教师就可以帮助幼儿将他们的已有知识和疑问转换为想要探究的驱动性问题“小学是什么样的？”、“幼儿园和小学有什么不一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2.幼儿想探究的内容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驱动性问题也可以在教师的鼓励、引导之下，由幼儿自主提出。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创设一个充满鼓励氛围的学习环境，通过在教室中设置情境、带领幼儿进入真实的情境、组织幼儿一起观看视频或者让幼儿讨论他们的兴趣爱好等方法，激发幼儿的好奇心。例如，在开展《有用的植物》主题活动时，我们可以带领孩子们在小菜园里观察各种蔬菜，那么他们有可能会提出“蔬菜都是绿色的吗”“为什么哪些蔬菜的果实长在地底下”等问题。</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帮助幼儿建立与真实世界的联系，抓住生活中偶然发生的问题情境，让幼儿能够在与他们生活息息相关的真实情境中进行探究。如在自然角中，孩子们发现有些植物浇得太多淹死了，“给植物浇多少水”成了一个关键性问题，孩子们提出不能一次浇很多水，每天浇一点就可以了……那么到底浇多少水才适合呢？幼儿开始进一步探究：各种植物是否需要每天浇水？各种植物适宜的浇水量各是多少……支持幼儿的探究，我们在自然角增加了量杯和记录表，鼓励幼儿自主探索一次浇多少水是合适的。通过记录，幼儿发现有些植物需要天天浇水，多肉植物则不能天天浇水。</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鼓励幼儿以驱动性问题的关键特征作为评估标准，进行自我评估、小组互评，鼓励、帮助和监督幼儿精练和完善问题。在孩子们提出自己的问题时，教师鼓励幼儿讨论，这个问题是否是基于真实情景提出的；是否具有探究性，需要幼儿通过多方收集信息、多次尝试、深度探究才能解决；是否具有开放性，结果呈现有哪些可能……那么幼儿便可得出这个问题满足真实性、探究性、开放性等关键特征，是一个好的驱动性问题的结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四</w:t>
      </w:r>
      <w:r>
        <w:rPr>
          <w:rFonts w:hint="default" w:ascii="宋体" w:hAnsi="宋体" w:eastAsia="宋体" w:cs="宋体"/>
          <w:b/>
          <w:bCs/>
          <w:sz w:val="24"/>
          <w:szCs w:val="24"/>
          <w:lang w:val="en-US" w:eastAsia="zh-CN"/>
        </w:rPr>
        <w:t>、</w:t>
      </w:r>
      <w:r>
        <w:rPr>
          <w:rFonts w:hint="eastAsia" w:ascii="宋体" w:hAnsi="宋体" w:eastAsia="宋体" w:cs="宋体"/>
          <w:b/>
          <w:bCs/>
          <w:sz w:val="24"/>
          <w:szCs w:val="24"/>
          <w:lang w:val="en-US" w:eastAsia="zh-CN"/>
        </w:rPr>
        <w:t>研究成效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项目化</w:t>
      </w:r>
      <w:r>
        <w:rPr>
          <w:rFonts w:hint="default" w:ascii="宋体" w:hAnsi="宋体" w:eastAsia="宋体" w:cs="宋体"/>
          <w:sz w:val="24"/>
          <w:szCs w:val="24"/>
          <w:lang w:val="en-US" w:eastAsia="zh-CN"/>
        </w:rPr>
        <w:t>学习强调让幼儿围绕真实而有意义的驱动性问题展开一系列探究活动，驱动性问题是基于项目主题和课程标准设计的关键性问题。在</w:t>
      </w:r>
      <w:r>
        <w:rPr>
          <w:rFonts w:hint="eastAsia" w:ascii="宋体" w:hAnsi="宋体" w:eastAsia="宋体" w:cs="宋体"/>
          <w:sz w:val="24"/>
          <w:szCs w:val="24"/>
          <w:lang w:val="en-US" w:eastAsia="zh-CN"/>
        </w:rPr>
        <w:t>项目化</w:t>
      </w:r>
      <w:r>
        <w:rPr>
          <w:rFonts w:hint="default" w:ascii="宋体" w:hAnsi="宋体" w:eastAsia="宋体" w:cs="宋体"/>
          <w:sz w:val="24"/>
          <w:szCs w:val="24"/>
          <w:lang w:val="en-US" w:eastAsia="zh-CN"/>
        </w:rPr>
        <w:t>学习中使用驱动性问题能够增强幼儿学习的一致性和连贯性，帮助幼儿建立科学知识与生活的联系，并提高学生整合学科知识的能力。经过理论联系实际的探索，在教师专业成长与幼儿发展方面取得了一定成效。</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幼儿发展：幼儿结合自己的生活经验、兴趣需要提出问题，在教师的鼓励、引导下确立一个驱动性问题，并自主寻找问题的解决方案、计划和开展探究，能够将幼儿置于真实世界的情境中，让他们探究现实生活中的问题，搭建科学知识与实际生活的桥梁，并提高幼儿整合学科知识的能力，最后实现深度学习。通过问题驱动，幼儿容易对学习充满热情,有学习的内在驱动力，表现出好奇心和兴趣,积极探索与主动完成任务。</w:t>
      </w:r>
    </w:p>
    <w:tbl>
      <w:tblPr>
        <w:tblStyle w:val="7"/>
        <w:tblW w:w="8532"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97"/>
        <w:gridCol w:w="1025"/>
        <w:gridCol w:w="962"/>
        <w:gridCol w:w="961"/>
        <w:gridCol w:w="1187"/>
        <w:gridCol w:w="1049"/>
        <w:gridCol w:w="105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297" w:type="dxa"/>
            <w:tcBorders>
              <w:top w:val="single" w:color="auto" w:sz="4" w:space="0"/>
              <w:bottom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自主探究能力</w:t>
            </w:r>
          </w:p>
        </w:tc>
        <w:tc>
          <w:tcPr>
            <w:tcW w:w="2948" w:type="dxa"/>
            <w:gridSpan w:val="3"/>
            <w:tcBorders>
              <w:top w:val="single" w:color="auto" w:sz="4" w:space="0"/>
              <w:bottom w:val="single" w:color="auto" w:sz="4" w:space="0"/>
              <w:right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活动前</w:t>
            </w:r>
          </w:p>
        </w:tc>
        <w:tc>
          <w:tcPr>
            <w:tcW w:w="3287" w:type="dxa"/>
            <w:gridSpan w:val="3"/>
            <w:tcBorders>
              <w:top w:val="single" w:color="auto" w:sz="4" w:space="0"/>
              <w:left w:val="single" w:color="auto" w:sz="4" w:space="0"/>
              <w:bottom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活动后</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297" w:type="dxa"/>
            <w:tcBorders>
              <w:top w:val="single" w:color="auto" w:sz="4" w:space="0"/>
            </w:tcBorders>
          </w:tcPr>
          <w:p>
            <w:pPr>
              <w:jc w:val="center"/>
              <w:rPr>
                <w:rFonts w:ascii="宋体" w:hAnsi="宋体" w:eastAsia="宋体" w:cs="宋体"/>
                <w:sz w:val="24"/>
                <w:szCs w:val="24"/>
              </w:rPr>
            </w:pPr>
            <w:bookmarkStart w:id="1" w:name="_Hlk101779420"/>
          </w:p>
        </w:tc>
        <w:tc>
          <w:tcPr>
            <w:tcW w:w="1025" w:type="dxa"/>
            <w:tcBorders>
              <w:top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表现行为1</w:t>
            </w:r>
          </w:p>
        </w:tc>
        <w:tc>
          <w:tcPr>
            <w:tcW w:w="962" w:type="dxa"/>
            <w:tcBorders>
              <w:top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表现行为</w:t>
            </w:r>
            <w:r>
              <w:rPr>
                <w:rFonts w:ascii="宋体" w:hAnsi="宋体" w:eastAsia="宋体" w:cs="宋体"/>
                <w:sz w:val="24"/>
                <w:szCs w:val="24"/>
              </w:rPr>
              <w:t>3</w:t>
            </w:r>
          </w:p>
        </w:tc>
        <w:tc>
          <w:tcPr>
            <w:tcW w:w="961" w:type="dxa"/>
            <w:tcBorders>
              <w:top w:val="single" w:color="auto" w:sz="4" w:space="0"/>
              <w:right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表现行为</w:t>
            </w:r>
            <w:r>
              <w:rPr>
                <w:rFonts w:ascii="宋体" w:hAnsi="宋体" w:eastAsia="宋体" w:cs="宋体"/>
                <w:sz w:val="24"/>
                <w:szCs w:val="24"/>
              </w:rPr>
              <w:t>5</w:t>
            </w:r>
          </w:p>
        </w:tc>
        <w:tc>
          <w:tcPr>
            <w:tcW w:w="1187" w:type="dxa"/>
            <w:tcBorders>
              <w:top w:val="single" w:color="auto" w:sz="4" w:space="0"/>
              <w:left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表现行为1</w:t>
            </w:r>
          </w:p>
        </w:tc>
        <w:tc>
          <w:tcPr>
            <w:tcW w:w="1049" w:type="dxa"/>
            <w:tcBorders>
              <w:top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表现行为</w:t>
            </w:r>
            <w:r>
              <w:rPr>
                <w:rFonts w:ascii="宋体" w:hAnsi="宋体" w:eastAsia="宋体" w:cs="宋体"/>
                <w:sz w:val="24"/>
                <w:szCs w:val="24"/>
              </w:rPr>
              <w:t>3</w:t>
            </w:r>
          </w:p>
        </w:tc>
        <w:tc>
          <w:tcPr>
            <w:tcW w:w="1051" w:type="dxa"/>
            <w:tcBorders>
              <w:top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表现行为5</w:t>
            </w:r>
          </w:p>
        </w:tc>
      </w:tr>
      <w:bookmarkEnd w:id="1"/>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2297" w:type="dxa"/>
          </w:tcPr>
          <w:p>
            <w:pPr>
              <w:jc w:val="center"/>
              <w:rPr>
                <w:rFonts w:ascii="宋体" w:hAnsi="宋体" w:eastAsia="宋体" w:cs="宋体"/>
                <w:sz w:val="24"/>
                <w:szCs w:val="24"/>
              </w:rPr>
            </w:pPr>
            <w:r>
              <w:rPr>
                <w:rFonts w:hint="eastAsia" w:ascii="宋体" w:hAnsi="宋体" w:eastAsia="宋体" w:cs="宋体"/>
                <w:sz w:val="24"/>
                <w:szCs w:val="24"/>
              </w:rPr>
              <w:t>提出问题的能力</w:t>
            </w:r>
          </w:p>
        </w:tc>
        <w:tc>
          <w:tcPr>
            <w:tcW w:w="1025" w:type="dxa"/>
          </w:tcPr>
          <w:p>
            <w:pPr>
              <w:jc w:val="center"/>
              <w:rPr>
                <w:rFonts w:ascii="宋体" w:hAnsi="宋体" w:eastAsia="宋体" w:cs="宋体"/>
                <w:sz w:val="24"/>
                <w:szCs w:val="24"/>
              </w:rPr>
            </w:pPr>
            <w:r>
              <w:rPr>
                <w:rFonts w:ascii="宋体" w:hAnsi="宋体" w:eastAsia="宋体" w:cs="宋体"/>
                <w:sz w:val="24"/>
                <w:szCs w:val="24"/>
              </w:rPr>
              <w:t>18.75</w:t>
            </w:r>
            <w:r>
              <w:rPr>
                <w:rFonts w:hint="eastAsia" w:ascii="宋体" w:hAnsi="宋体" w:eastAsia="宋体" w:cs="宋体"/>
                <w:sz w:val="24"/>
                <w:szCs w:val="24"/>
              </w:rPr>
              <w:t>%</w:t>
            </w:r>
          </w:p>
        </w:tc>
        <w:tc>
          <w:tcPr>
            <w:tcW w:w="962" w:type="dxa"/>
          </w:tcPr>
          <w:p>
            <w:pPr>
              <w:jc w:val="center"/>
              <w:rPr>
                <w:rFonts w:ascii="宋体" w:hAnsi="宋体" w:eastAsia="宋体" w:cs="宋体"/>
                <w:sz w:val="24"/>
                <w:szCs w:val="24"/>
              </w:rPr>
            </w:pPr>
            <w:r>
              <w:rPr>
                <w:rFonts w:ascii="宋体" w:hAnsi="宋体" w:eastAsia="宋体" w:cs="宋体"/>
                <w:sz w:val="24"/>
                <w:szCs w:val="24"/>
              </w:rPr>
              <w:t>56.25</w:t>
            </w:r>
            <w:r>
              <w:rPr>
                <w:rFonts w:hint="eastAsia" w:ascii="宋体" w:hAnsi="宋体" w:eastAsia="宋体" w:cs="宋体"/>
                <w:sz w:val="24"/>
                <w:szCs w:val="24"/>
              </w:rPr>
              <w:t>%</w:t>
            </w:r>
          </w:p>
        </w:tc>
        <w:tc>
          <w:tcPr>
            <w:tcW w:w="961" w:type="dxa"/>
            <w:tcBorders>
              <w:right w:val="single" w:color="auto" w:sz="4" w:space="0"/>
            </w:tcBorders>
          </w:tcPr>
          <w:p>
            <w:pPr>
              <w:jc w:val="center"/>
              <w:rPr>
                <w:rFonts w:ascii="宋体" w:hAnsi="宋体" w:eastAsia="宋体" w:cs="宋体"/>
                <w:sz w:val="24"/>
                <w:szCs w:val="24"/>
              </w:rPr>
            </w:pPr>
            <w:r>
              <w:rPr>
                <w:rFonts w:ascii="宋体" w:hAnsi="宋体" w:eastAsia="宋体" w:cs="宋体"/>
                <w:sz w:val="24"/>
                <w:szCs w:val="24"/>
              </w:rPr>
              <w:t>25</w:t>
            </w:r>
            <w:r>
              <w:rPr>
                <w:rFonts w:hint="eastAsia" w:ascii="宋体" w:hAnsi="宋体" w:eastAsia="宋体" w:cs="宋体"/>
                <w:sz w:val="24"/>
                <w:szCs w:val="24"/>
              </w:rPr>
              <w:t>%</w:t>
            </w:r>
          </w:p>
        </w:tc>
        <w:tc>
          <w:tcPr>
            <w:tcW w:w="1187" w:type="dxa"/>
            <w:tcBorders>
              <w:left w:val="single" w:color="auto" w:sz="4" w:space="0"/>
            </w:tcBorders>
          </w:tcPr>
          <w:p>
            <w:pPr>
              <w:jc w:val="center"/>
              <w:rPr>
                <w:rFonts w:ascii="宋体" w:hAnsi="宋体" w:eastAsia="宋体" w:cs="宋体"/>
                <w:sz w:val="24"/>
                <w:szCs w:val="24"/>
              </w:rPr>
            </w:pPr>
            <w:r>
              <w:rPr>
                <w:rFonts w:ascii="宋体" w:hAnsi="宋体" w:eastAsia="宋体" w:cs="宋体"/>
                <w:sz w:val="24"/>
                <w:szCs w:val="24"/>
              </w:rPr>
              <w:t>6.2</w:t>
            </w:r>
            <w:r>
              <w:rPr>
                <w:rFonts w:hint="eastAsia" w:ascii="宋体" w:hAnsi="宋体" w:eastAsia="宋体" w:cs="宋体"/>
                <w:sz w:val="24"/>
                <w:szCs w:val="24"/>
              </w:rPr>
              <w:t>5%</w:t>
            </w:r>
          </w:p>
        </w:tc>
        <w:tc>
          <w:tcPr>
            <w:tcW w:w="1049" w:type="dxa"/>
          </w:tcPr>
          <w:p>
            <w:pPr>
              <w:jc w:val="center"/>
              <w:rPr>
                <w:rFonts w:ascii="宋体" w:hAnsi="宋体" w:eastAsia="宋体" w:cs="宋体"/>
                <w:sz w:val="24"/>
                <w:szCs w:val="24"/>
              </w:rPr>
            </w:pPr>
            <w:r>
              <w:rPr>
                <w:rFonts w:ascii="宋体" w:hAnsi="宋体" w:eastAsia="宋体" w:cs="宋体"/>
                <w:sz w:val="24"/>
                <w:szCs w:val="24"/>
              </w:rPr>
              <w:t>56.25</w:t>
            </w:r>
            <w:r>
              <w:rPr>
                <w:rFonts w:hint="eastAsia" w:ascii="宋体" w:hAnsi="宋体" w:eastAsia="宋体" w:cs="宋体"/>
                <w:sz w:val="24"/>
                <w:szCs w:val="24"/>
              </w:rPr>
              <w:t>%</w:t>
            </w:r>
          </w:p>
        </w:tc>
        <w:tc>
          <w:tcPr>
            <w:tcW w:w="1051" w:type="dxa"/>
          </w:tcPr>
          <w:p>
            <w:pPr>
              <w:jc w:val="center"/>
              <w:rPr>
                <w:rFonts w:ascii="宋体" w:hAnsi="宋体" w:eastAsia="宋体" w:cs="宋体"/>
                <w:b/>
                <w:sz w:val="24"/>
                <w:szCs w:val="24"/>
              </w:rPr>
            </w:pPr>
            <w:r>
              <w:rPr>
                <w:rFonts w:hint="eastAsia" w:ascii="宋体" w:hAnsi="宋体" w:eastAsia="宋体" w:cs="宋体"/>
                <w:sz w:val="24"/>
                <w:szCs w:val="24"/>
              </w:rPr>
              <w:t>3</w:t>
            </w:r>
            <w:r>
              <w:rPr>
                <w:rFonts w:ascii="宋体" w:hAnsi="宋体" w:eastAsia="宋体" w:cs="宋体"/>
                <w:sz w:val="24"/>
                <w:szCs w:val="24"/>
              </w:rPr>
              <w:t>7.5</w:t>
            </w:r>
            <w:r>
              <w:rPr>
                <w:rFonts w:hint="eastAsia" w:ascii="宋体" w:hAnsi="宋体" w:eastAsia="宋体" w:cs="宋体"/>
                <w:sz w:val="24"/>
                <w:szCs w:val="24"/>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297" w:type="dxa"/>
          </w:tcPr>
          <w:p>
            <w:pPr>
              <w:jc w:val="center"/>
              <w:rPr>
                <w:rFonts w:ascii="宋体" w:hAnsi="宋体" w:eastAsia="宋体" w:cs="宋体"/>
                <w:sz w:val="24"/>
                <w:szCs w:val="24"/>
              </w:rPr>
            </w:pPr>
            <w:r>
              <w:rPr>
                <w:rFonts w:hint="eastAsia" w:ascii="宋体" w:hAnsi="宋体" w:eastAsia="宋体" w:cs="宋体"/>
                <w:sz w:val="24"/>
                <w:szCs w:val="24"/>
              </w:rPr>
              <w:t>收集资料和信息能力</w:t>
            </w:r>
          </w:p>
        </w:tc>
        <w:tc>
          <w:tcPr>
            <w:tcW w:w="1025" w:type="dxa"/>
          </w:tcPr>
          <w:p>
            <w:pPr>
              <w:jc w:val="center"/>
              <w:rPr>
                <w:rFonts w:ascii="宋体" w:hAnsi="宋体" w:eastAsia="宋体" w:cs="宋体"/>
                <w:sz w:val="24"/>
                <w:szCs w:val="24"/>
              </w:rPr>
            </w:pPr>
            <w:r>
              <w:rPr>
                <w:rFonts w:ascii="宋体" w:hAnsi="宋体" w:eastAsia="宋体" w:cs="宋体"/>
                <w:sz w:val="24"/>
                <w:szCs w:val="24"/>
              </w:rPr>
              <w:t>25</w:t>
            </w:r>
            <w:r>
              <w:rPr>
                <w:rFonts w:hint="eastAsia" w:ascii="宋体" w:hAnsi="宋体" w:eastAsia="宋体" w:cs="宋体"/>
                <w:sz w:val="24"/>
                <w:szCs w:val="24"/>
              </w:rPr>
              <w:t>%</w:t>
            </w:r>
          </w:p>
        </w:tc>
        <w:tc>
          <w:tcPr>
            <w:tcW w:w="962" w:type="dxa"/>
          </w:tcPr>
          <w:p>
            <w:pPr>
              <w:jc w:val="center"/>
              <w:rPr>
                <w:rFonts w:ascii="宋体" w:hAnsi="宋体" w:eastAsia="宋体" w:cs="宋体"/>
                <w:sz w:val="24"/>
                <w:szCs w:val="24"/>
              </w:rPr>
            </w:pPr>
            <w:r>
              <w:rPr>
                <w:rFonts w:hint="eastAsia" w:ascii="宋体" w:hAnsi="宋体" w:eastAsia="宋体" w:cs="宋体"/>
                <w:sz w:val="24"/>
                <w:szCs w:val="24"/>
              </w:rPr>
              <w:t>6</w:t>
            </w:r>
            <w:r>
              <w:rPr>
                <w:rFonts w:ascii="宋体" w:hAnsi="宋体" w:eastAsia="宋体" w:cs="宋体"/>
                <w:sz w:val="24"/>
                <w:szCs w:val="24"/>
              </w:rPr>
              <w:t>2.5</w:t>
            </w:r>
            <w:r>
              <w:rPr>
                <w:rFonts w:hint="eastAsia" w:ascii="宋体" w:hAnsi="宋体" w:eastAsia="宋体" w:cs="宋体"/>
                <w:sz w:val="24"/>
                <w:szCs w:val="24"/>
              </w:rPr>
              <w:t>%</w:t>
            </w:r>
          </w:p>
        </w:tc>
        <w:tc>
          <w:tcPr>
            <w:tcW w:w="961" w:type="dxa"/>
            <w:tcBorders>
              <w:right w:val="single" w:color="auto" w:sz="4" w:space="0"/>
            </w:tcBorders>
          </w:tcPr>
          <w:p>
            <w:pPr>
              <w:jc w:val="center"/>
              <w:rPr>
                <w:rFonts w:ascii="宋体" w:hAnsi="宋体" w:eastAsia="宋体" w:cs="宋体"/>
                <w:sz w:val="24"/>
                <w:szCs w:val="24"/>
              </w:rPr>
            </w:pPr>
            <w:r>
              <w:rPr>
                <w:rFonts w:ascii="宋体" w:hAnsi="宋体" w:eastAsia="宋体" w:cs="宋体"/>
                <w:sz w:val="24"/>
                <w:szCs w:val="24"/>
              </w:rPr>
              <w:t>12.5</w:t>
            </w:r>
            <w:r>
              <w:rPr>
                <w:rFonts w:hint="eastAsia" w:ascii="宋体" w:hAnsi="宋体" w:eastAsia="宋体" w:cs="宋体"/>
                <w:sz w:val="24"/>
                <w:szCs w:val="24"/>
              </w:rPr>
              <w:t>%</w:t>
            </w:r>
          </w:p>
        </w:tc>
        <w:tc>
          <w:tcPr>
            <w:tcW w:w="1187" w:type="dxa"/>
            <w:tcBorders>
              <w:left w:val="single" w:color="auto" w:sz="4" w:space="0"/>
            </w:tcBorders>
          </w:tcPr>
          <w:p>
            <w:pPr>
              <w:jc w:val="center"/>
              <w:rPr>
                <w:rFonts w:ascii="宋体" w:hAnsi="宋体" w:eastAsia="宋体" w:cs="宋体"/>
                <w:sz w:val="24"/>
                <w:szCs w:val="24"/>
              </w:rPr>
            </w:pPr>
            <w:r>
              <w:rPr>
                <w:rFonts w:ascii="宋体" w:hAnsi="宋体" w:eastAsia="宋体" w:cs="宋体"/>
                <w:sz w:val="24"/>
                <w:szCs w:val="24"/>
              </w:rPr>
              <w:t>12.5</w:t>
            </w:r>
            <w:r>
              <w:rPr>
                <w:rFonts w:hint="eastAsia" w:ascii="宋体" w:hAnsi="宋体" w:eastAsia="宋体" w:cs="宋体"/>
                <w:sz w:val="24"/>
                <w:szCs w:val="24"/>
              </w:rPr>
              <w:t>%</w:t>
            </w:r>
          </w:p>
        </w:tc>
        <w:tc>
          <w:tcPr>
            <w:tcW w:w="1049" w:type="dxa"/>
          </w:tcPr>
          <w:p>
            <w:pPr>
              <w:jc w:val="center"/>
              <w:rPr>
                <w:rFonts w:ascii="宋体" w:hAnsi="宋体" w:eastAsia="宋体" w:cs="宋体"/>
                <w:sz w:val="24"/>
                <w:szCs w:val="24"/>
              </w:rPr>
            </w:pPr>
            <w:r>
              <w:rPr>
                <w:rFonts w:ascii="宋体" w:hAnsi="宋体" w:eastAsia="宋体" w:cs="宋体"/>
                <w:sz w:val="24"/>
                <w:szCs w:val="24"/>
              </w:rPr>
              <w:t>56.25</w:t>
            </w:r>
            <w:r>
              <w:rPr>
                <w:rFonts w:hint="eastAsia" w:ascii="宋体" w:hAnsi="宋体" w:eastAsia="宋体" w:cs="宋体"/>
                <w:sz w:val="24"/>
                <w:szCs w:val="24"/>
              </w:rPr>
              <w:t>%</w:t>
            </w:r>
          </w:p>
        </w:tc>
        <w:tc>
          <w:tcPr>
            <w:tcW w:w="1051" w:type="dxa"/>
          </w:tcPr>
          <w:p>
            <w:pPr>
              <w:jc w:val="center"/>
              <w:rPr>
                <w:rFonts w:ascii="宋体" w:hAnsi="宋体" w:eastAsia="宋体" w:cs="宋体"/>
                <w:sz w:val="24"/>
                <w:szCs w:val="24"/>
              </w:rPr>
            </w:pPr>
            <w:r>
              <w:rPr>
                <w:rFonts w:ascii="宋体" w:hAnsi="宋体" w:eastAsia="宋体" w:cs="宋体"/>
                <w:sz w:val="24"/>
                <w:szCs w:val="24"/>
              </w:rPr>
              <w:t>31.25</w:t>
            </w:r>
            <w:r>
              <w:rPr>
                <w:rFonts w:hint="eastAsia" w:ascii="宋体" w:hAnsi="宋体" w:eastAsia="宋体" w:cs="宋体"/>
                <w:sz w:val="24"/>
                <w:szCs w:val="24"/>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297" w:type="dxa"/>
          </w:tcPr>
          <w:p>
            <w:pPr>
              <w:jc w:val="center"/>
              <w:rPr>
                <w:rFonts w:ascii="宋体" w:hAnsi="宋体" w:eastAsia="宋体" w:cs="宋体"/>
                <w:sz w:val="24"/>
                <w:szCs w:val="24"/>
              </w:rPr>
            </w:pPr>
            <w:r>
              <w:rPr>
                <w:rFonts w:hint="eastAsia" w:ascii="宋体" w:hAnsi="宋体" w:eastAsia="宋体" w:cs="宋体"/>
                <w:sz w:val="24"/>
                <w:szCs w:val="24"/>
              </w:rPr>
              <w:t>科学观察和实验能力</w:t>
            </w:r>
          </w:p>
        </w:tc>
        <w:tc>
          <w:tcPr>
            <w:tcW w:w="1025" w:type="dxa"/>
          </w:tcPr>
          <w:p>
            <w:pPr>
              <w:jc w:val="center"/>
              <w:rPr>
                <w:rFonts w:ascii="宋体" w:hAnsi="宋体" w:eastAsia="宋体" w:cs="宋体"/>
                <w:sz w:val="24"/>
                <w:szCs w:val="24"/>
              </w:rPr>
            </w:pPr>
            <w:r>
              <w:rPr>
                <w:rFonts w:ascii="宋体" w:hAnsi="宋体" w:eastAsia="宋体" w:cs="宋体"/>
                <w:sz w:val="24"/>
                <w:szCs w:val="24"/>
              </w:rPr>
              <w:t>37.5</w:t>
            </w:r>
            <w:r>
              <w:rPr>
                <w:rFonts w:hint="eastAsia" w:ascii="宋体" w:hAnsi="宋体" w:eastAsia="宋体" w:cs="宋体"/>
                <w:sz w:val="24"/>
                <w:szCs w:val="24"/>
              </w:rPr>
              <w:t>%</w:t>
            </w:r>
          </w:p>
        </w:tc>
        <w:tc>
          <w:tcPr>
            <w:tcW w:w="962" w:type="dxa"/>
          </w:tcPr>
          <w:p>
            <w:pPr>
              <w:jc w:val="center"/>
              <w:rPr>
                <w:rFonts w:ascii="宋体" w:hAnsi="宋体" w:eastAsia="宋体" w:cs="宋体"/>
                <w:sz w:val="24"/>
                <w:szCs w:val="24"/>
              </w:rPr>
            </w:pPr>
            <w:r>
              <w:rPr>
                <w:rFonts w:ascii="宋体" w:hAnsi="宋体" w:eastAsia="宋体" w:cs="宋体"/>
                <w:sz w:val="24"/>
                <w:szCs w:val="24"/>
              </w:rPr>
              <w:t>50</w:t>
            </w:r>
            <w:r>
              <w:rPr>
                <w:rFonts w:hint="eastAsia" w:ascii="宋体" w:hAnsi="宋体" w:eastAsia="宋体" w:cs="宋体"/>
                <w:sz w:val="24"/>
                <w:szCs w:val="24"/>
              </w:rPr>
              <w:t>%</w:t>
            </w:r>
          </w:p>
        </w:tc>
        <w:tc>
          <w:tcPr>
            <w:tcW w:w="961" w:type="dxa"/>
            <w:tcBorders>
              <w:right w:val="single" w:color="auto" w:sz="4" w:space="0"/>
            </w:tcBorders>
          </w:tcPr>
          <w:p>
            <w:pPr>
              <w:jc w:val="center"/>
              <w:rPr>
                <w:rFonts w:ascii="宋体" w:hAnsi="宋体" w:eastAsia="宋体" w:cs="宋体"/>
                <w:sz w:val="24"/>
                <w:szCs w:val="24"/>
              </w:rPr>
            </w:pPr>
            <w:r>
              <w:rPr>
                <w:rFonts w:ascii="宋体" w:hAnsi="宋体" w:eastAsia="宋体" w:cs="宋体"/>
                <w:sz w:val="24"/>
                <w:szCs w:val="24"/>
              </w:rPr>
              <w:t>12.5</w:t>
            </w:r>
            <w:r>
              <w:rPr>
                <w:rFonts w:hint="eastAsia" w:ascii="宋体" w:hAnsi="宋体" w:eastAsia="宋体" w:cs="宋体"/>
                <w:sz w:val="24"/>
                <w:szCs w:val="24"/>
              </w:rPr>
              <w:t>%</w:t>
            </w:r>
          </w:p>
        </w:tc>
        <w:tc>
          <w:tcPr>
            <w:tcW w:w="1187" w:type="dxa"/>
            <w:tcBorders>
              <w:left w:val="single" w:color="auto" w:sz="4" w:space="0"/>
            </w:tcBorders>
          </w:tcPr>
          <w:p>
            <w:pPr>
              <w:jc w:val="center"/>
              <w:rPr>
                <w:rFonts w:ascii="宋体" w:hAnsi="宋体" w:eastAsia="宋体" w:cs="宋体"/>
                <w:sz w:val="24"/>
                <w:szCs w:val="24"/>
              </w:rPr>
            </w:pPr>
            <w:r>
              <w:rPr>
                <w:rFonts w:ascii="宋体" w:hAnsi="宋体" w:eastAsia="宋体" w:cs="宋体"/>
                <w:sz w:val="24"/>
                <w:szCs w:val="24"/>
              </w:rPr>
              <w:t>18.75</w:t>
            </w:r>
            <w:r>
              <w:rPr>
                <w:rFonts w:hint="eastAsia" w:ascii="宋体" w:hAnsi="宋体" w:eastAsia="宋体" w:cs="宋体"/>
                <w:sz w:val="24"/>
                <w:szCs w:val="24"/>
              </w:rPr>
              <w:t>%</w:t>
            </w:r>
          </w:p>
        </w:tc>
        <w:tc>
          <w:tcPr>
            <w:tcW w:w="1049" w:type="dxa"/>
          </w:tcPr>
          <w:p>
            <w:pPr>
              <w:jc w:val="center"/>
              <w:rPr>
                <w:rFonts w:ascii="宋体" w:hAnsi="宋体" w:eastAsia="宋体" w:cs="宋体"/>
                <w:sz w:val="24"/>
                <w:szCs w:val="24"/>
              </w:rPr>
            </w:pPr>
            <w:r>
              <w:rPr>
                <w:rFonts w:ascii="宋体" w:hAnsi="宋体" w:eastAsia="宋体" w:cs="宋体"/>
                <w:sz w:val="24"/>
                <w:szCs w:val="24"/>
              </w:rPr>
              <w:t>56.25</w:t>
            </w:r>
            <w:r>
              <w:rPr>
                <w:rFonts w:hint="eastAsia" w:ascii="宋体" w:hAnsi="宋体" w:eastAsia="宋体" w:cs="宋体"/>
                <w:sz w:val="24"/>
                <w:szCs w:val="24"/>
              </w:rPr>
              <w:t>%</w:t>
            </w:r>
          </w:p>
        </w:tc>
        <w:tc>
          <w:tcPr>
            <w:tcW w:w="1051" w:type="dxa"/>
          </w:tcPr>
          <w:p>
            <w:pPr>
              <w:jc w:val="center"/>
              <w:rPr>
                <w:rFonts w:ascii="宋体" w:hAnsi="宋体" w:eastAsia="宋体" w:cs="宋体"/>
                <w:sz w:val="24"/>
                <w:szCs w:val="24"/>
              </w:rPr>
            </w:pPr>
            <w:r>
              <w:rPr>
                <w:rFonts w:ascii="宋体" w:hAnsi="宋体" w:eastAsia="宋体" w:cs="宋体"/>
                <w:sz w:val="24"/>
                <w:szCs w:val="24"/>
              </w:rPr>
              <w:t>25</w:t>
            </w:r>
            <w:r>
              <w:rPr>
                <w:rFonts w:hint="eastAsia" w:ascii="宋体" w:hAnsi="宋体" w:eastAsia="宋体" w:cs="宋体"/>
                <w:sz w:val="24"/>
                <w:szCs w:val="24"/>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2297" w:type="dxa"/>
          </w:tcPr>
          <w:p>
            <w:pPr>
              <w:jc w:val="center"/>
              <w:rPr>
                <w:rFonts w:ascii="宋体" w:hAnsi="宋体" w:eastAsia="宋体" w:cs="宋体"/>
                <w:sz w:val="24"/>
                <w:szCs w:val="24"/>
              </w:rPr>
            </w:pPr>
            <w:r>
              <w:rPr>
                <w:rFonts w:hint="eastAsia" w:ascii="宋体" w:hAnsi="宋体" w:eastAsia="宋体" w:cs="宋体"/>
                <w:sz w:val="24"/>
                <w:szCs w:val="24"/>
              </w:rPr>
              <w:t>解决问题的能力</w:t>
            </w:r>
          </w:p>
        </w:tc>
        <w:tc>
          <w:tcPr>
            <w:tcW w:w="1025" w:type="dxa"/>
          </w:tcPr>
          <w:p>
            <w:pPr>
              <w:jc w:val="center"/>
              <w:rPr>
                <w:rFonts w:ascii="宋体" w:hAnsi="宋体" w:eastAsia="宋体" w:cs="宋体"/>
                <w:sz w:val="24"/>
                <w:szCs w:val="24"/>
              </w:rPr>
            </w:pPr>
            <w:r>
              <w:rPr>
                <w:rFonts w:ascii="宋体" w:hAnsi="宋体" w:eastAsia="宋体" w:cs="宋体"/>
                <w:sz w:val="24"/>
                <w:szCs w:val="24"/>
              </w:rPr>
              <w:t>12.5</w:t>
            </w:r>
            <w:r>
              <w:rPr>
                <w:rFonts w:hint="eastAsia" w:ascii="宋体" w:hAnsi="宋体" w:eastAsia="宋体" w:cs="宋体"/>
                <w:sz w:val="24"/>
                <w:szCs w:val="24"/>
              </w:rPr>
              <w:t>%</w:t>
            </w:r>
          </w:p>
        </w:tc>
        <w:tc>
          <w:tcPr>
            <w:tcW w:w="962" w:type="dxa"/>
          </w:tcPr>
          <w:p>
            <w:pPr>
              <w:jc w:val="center"/>
              <w:rPr>
                <w:rFonts w:ascii="宋体" w:hAnsi="宋体" w:eastAsia="宋体" w:cs="宋体"/>
                <w:sz w:val="24"/>
                <w:szCs w:val="24"/>
              </w:rPr>
            </w:pPr>
            <w:r>
              <w:rPr>
                <w:rFonts w:ascii="宋体" w:hAnsi="宋体" w:eastAsia="宋体" w:cs="宋体"/>
                <w:sz w:val="24"/>
                <w:szCs w:val="24"/>
              </w:rPr>
              <w:t>7</w:t>
            </w:r>
            <w:r>
              <w:rPr>
                <w:rFonts w:hint="eastAsia" w:ascii="宋体" w:hAnsi="宋体" w:eastAsia="宋体" w:cs="宋体"/>
                <w:sz w:val="24"/>
                <w:szCs w:val="24"/>
              </w:rPr>
              <w:t>5%</w:t>
            </w:r>
          </w:p>
        </w:tc>
        <w:tc>
          <w:tcPr>
            <w:tcW w:w="961" w:type="dxa"/>
            <w:tcBorders>
              <w:right w:val="single" w:color="auto" w:sz="4" w:space="0"/>
            </w:tcBorders>
          </w:tcPr>
          <w:p>
            <w:pPr>
              <w:jc w:val="center"/>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2.5</w:t>
            </w:r>
            <w:r>
              <w:rPr>
                <w:rFonts w:hint="eastAsia" w:ascii="宋体" w:hAnsi="宋体" w:eastAsia="宋体" w:cs="宋体"/>
                <w:sz w:val="24"/>
                <w:szCs w:val="24"/>
              </w:rPr>
              <w:t>%</w:t>
            </w:r>
          </w:p>
        </w:tc>
        <w:tc>
          <w:tcPr>
            <w:tcW w:w="1187" w:type="dxa"/>
            <w:tcBorders>
              <w:left w:val="single" w:color="auto" w:sz="4" w:space="0"/>
            </w:tcBorders>
          </w:tcPr>
          <w:p>
            <w:pPr>
              <w:jc w:val="center"/>
              <w:rPr>
                <w:rFonts w:ascii="宋体" w:hAnsi="宋体" w:eastAsia="宋体" w:cs="宋体"/>
                <w:sz w:val="24"/>
                <w:szCs w:val="24"/>
              </w:rPr>
            </w:pPr>
            <w:r>
              <w:rPr>
                <w:rFonts w:ascii="宋体" w:hAnsi="宋体" w:eastAsia="宋体" w:cs="宋体"/>
                <w:sz w:val="24"/>
                <w:szCs w:val="24"/>
              </w:rPr>
              <w:t>6.25</w:t>
            </w:r>
            <w:r>
              <w:rPr>
                <w:rFonts w:hint="eastAsia" w:ascii="宋体" w:hAnsi="宋体" w:eastAsia="宋体" w:cs="宋体"/>
                <w:sz w:val="24"/>
                <w:szCs w:val="24"/>
              </w:rPr>
              <w:t>%</w:t>
            </w:r>
          </w:p>
        </w:tc>
        <w:tc>
          <w:tcPr>
            <w:tcW w:w="1049" w:type="dxa"/>
          </w:tcPr>
          <w:p>
            <w:pPr>
              <w:jc w:val="center"/>
              <w:rPr>
                <w:rFonts w:ascii="宋体" w:hAnsi="宋体" w:eastAsia="宋体" w:cs="宋体"/>
                <w:sz w:val="24"/>
                <w:szCs w:val="24"/>
              </w:rPr>
            </w:pPr>
            <w:r>
              <w:rPr>
                <w:rFonts w:ascii="宋体" w:hAnsi="宋体" w:eastAsia="宋体" w:cs="宋体"/>
                <w:sz w:val="24"/>
                <w:szCs w:val="24"/>
              </w:rPr>
              <w:t>68.75</w:t>
            </w:r>
            <w:r>
              <w:rPr>
                <w:rFonts w:hint="eastAsia" w:ascii="宋体" w:hAnsi="宋体" w:eastAsia="宋体" w:cs="宋体"/>
                <w:sz w:val="24"/>
                <w:szCs w:val="24"/>
              </w:rPr>
              <w:t>%</w:t>
            </w:r>
          </w:p>
        </w:tc>
        <w:tc>
          <w:tcPr>
            <w:tcW w:w="1051" w:type="dxa"/>
          </w:tcPr>
          <w:p>
            <w:pPr>
              <w:jc w:val="center"/>
              <w:rPr>
                <w:rFonts w:ascii="宋体" w:hAnsi="宋体" w:eastAsia="宋体" w:cs="宋体"/>
                <w:sz w:val="24"/>
                <w:szCs w:val="24"/>
              </w:rPr>
            </w:pPr>
            <w:r>
              <w:rPr>
                <w:rFonts w:ascii="宋体" w:hAnsi="宋体" w:eastAsia="宋体" w:cs="宋体"/>
                <w:sz w:val="24"/>
                <w:szCs w:val="24"/>
              </w:rPr>
              <w:t>25</w:t>
            </w:r>
            <w:r>
              <w:rPr>
                <w:rFonts w:hint="eastAsia" w:ascii="宋体" w:hAnsi="宋体" w:eastAsia="宋体" w:cs="宋体"/>
                <w:sz w:val="24"/>
                <w:szCs w:val="24"/>
              </w:rPr>
              <w:t>%</w:t>
            </w:r>
          </w:p>
        </w:tc>
      </w:tr>
    </w:tbl>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项目化学习中的驱动性问题</w:t>
      </w:r>
      <w:r>
        <w:rPr>
          <w:rFonts w:hint="default" w:ascii="宋体" w:hAnsi="宋体" w:eastAsia="宋体" w:cs="宋体"/>
          <w:sz w:val="24"/>
          <w:szCs w:val="24"/>
          <w:lang w:val="en-US" w:eastAsia="zh-CN"/>
        </w:rPr>
        <w:t>是基于幼儿真实问题产生的活动项目，在这个项目中，幼儿的学习是自主的，幼儿的探究是自发的，这样的自由模式有助于幼儿深度学习的能力成长。</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（二）</w:t>
      </w:r>
      <w:r>
        <w:rPr>
          <w:rFonts w:hint="default" w:ascii="宋体" w:hAnsi="宋体" w:eastAsia="宋体" w:cs="宋体"/>
          <w:sz w:val="24"/>
          <w:szCs w:val="24"/>
          <w:lang w:val="en-US" w:eastAsia="zh-CN"/>
        </w:rPr>
        <w:t>教师发展：为了更好的探究项目化主题，教师先要基于对幼儿的观察，通过倾听幼儿的想法，了解幼儿的兴趣来帮助幼儿确立一个驱动性问题,让幼儿在真实的问题情境中为完成某项任务、达到某个目的而自主参与活动。在这过程中，教师的专业素养不断提高，观察、识别幼儿的能力不断提高。</w:t>
      </w:r>
    </w:p>
    <w:p>
      <w:pPr>
        <w:jc w:val="left"/>
        <w:rPr>
          <w:rFonts w:hint="eastAsia" w:ascii="黑体" w:hAnsi="黑体" w:eastAsia="黑体" w:cs="黑体"/>
          <w:b/>
          <w:bCs w:val="0"/>
          <w:sz w:val="24"/>
          <w:szCs w:val="24"/>
          <w:lang w:val="en-US" w:eastAsia="zh-CN"/>
        </w:rPr>
      </w:pPr>
      <w:r>
        <w:rPr>
          <w:rFonts w:hint="eastAsia" w:ascii="宋体" w:hAnsi="宋体" w:eastAsia="宋体" w:cs="宋体"/>
          <w:sz w:val="24"/>
          <w:szCs w:val="24"/>
        </w:rPr>
        <w:drawing>
          <wp:inline distT="0" distB="0" distL="0" distR="0">
            <wp:extent cx="4727575" cy="2781935"/>
            <wp:effectExtent l="0" t="0" r="0" b="0"/>
            <wp:docPr id="55" name="图表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pPr>
        <w:jc w:val="left"/>
        <w:rPr>
          <w:rFonts w:hint="eastAsia" w:ascii="黑体" w:hAnsi="黑体" w:eastAsia="黑体" w:cs="黑体"/>
          <w:b/>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黑体" w:hAnsi="黑体" w:eastAsia="黑体" w:cs="黑体"/>
          <w:b/>
          <w:bCs w:val="0"/>
          <w:sz w:val="24"/>
          <w:szCs w:val="24"/>
          <w:lang w:val="en-US" w:eastAsia="zh-CN"/>
        </w:rPr>
      </w:pPr>
      <w:r>
        <w:rPr>
          <w:rFonts w:hint="eastAsia" w:ascii="宋体" w:hAnsi="宋体" w:eastAsia="宋体" w:cs="宋体"/>
          <w:sz w:val="24"/>
          <w:szCs w:val="24"/>
          <w:lang w:val="en-US" w:eastAsia="zh-CN"/>
        </w:rPr>
        <w:t>教师将不断调试探究活动内容，进行指导与问题重构，同时也一直调试自己的思维活动，将培养幼儿的学习品质，正确幼儿的价值观与情感需求放在首位，让每一个幼儿在一个项目活动中获得收获。</w:t>
      </w:r>
    </w:p>
    <w:p>
      <w:pPr>
        <w:jc w:val="left"/>
        <w:rPr>
          <w:rFonts w:hint="eastAsia" w:ascii="黑体" w:hAnsi="黑体" w:eastAsia="黑体" w:cs="黑体"/>
          <w:b/>
          <w:bCs w:val="0"/>
          <w:sz w:val="24"/>
          <w:szCs w:val="24"/>
          <w:lang w:val="en-US" w:eastAsia="zh-CN"/>
        </w:rPr>
      </w:pPr>
    </w:p>
    <w:p>
      <w:pPr>
        <w:jc w:val="left"/>
        <w:rPr>
          <w:rFonts w:hint="eastAsia" w:ascii="黑体" w:hAnsi="黑体" w:eastAsia="黑体" w:cs="黑体"/>
          <w:b/>
          <w:bCs w:val="0"/>
          <w:sz w:val="24"/>
          <w:szCs w:val="24"/>
          <w:lang w:val="en-US" w:eastAsia="zh-CN"/>
        </w:rPr>
      </w:pPr>
      <w:r>
        <w:rPr>
          <w:rFonts w:hint="eastAsia" w:ascii="黑体" w:hAnsi="黑体" w:eastAsia="黑体" w:cs="黑体"/>
          <w:b/>
          <w:bCs w:val="0"/>
          <w:sz w:val="24"/>
          <w:szCs w:val="24"/>
          <w:lang w:val="en-US" w:eastAsia="zh-CN"/>
        </w:rPr>
        <w:t>参考文献</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bookmarkStart w:id="2" w:name="_Hlk101191338"/>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1</w:t>
      </w:r>
      <w:r>
        <w:rPr>
          <w:rFonts w:hint="eastAsia" w:ascii="宋体" w:hAnsi="宋体" w:eastAsia="宋体" w:cs="宋体"/>
          <w:sz w:val="24"/>
          <w:szCs w:val="24"/>
          <w:lang w:val="en-US" w:eastAsia="zh-CN"/>
        </w:rPr>
        <w:t>］</w:t>
      </w:r>
      <w:bookmarkEnd w:id="2"/>
      <w:r>
        <w:rPr>
          <w:rFonts w:hint="eastAsia" w:ascii="宋体" w:hAnsi="宋体" w:eastAsia="宋体" w:cs="宋体"/>
          <w:sz w:val="24"/>
          <w:szCs w:val="24"/>
          <w:lang w:val="en-US" w:eastAsia="zh-CN"/>
        </w:rPr>
        <w:t>上海</w:t>
      </w:r>
      <w:r>
        <w:rPr>
          <w:rFonts w:hint="default" w:ascii="宋体" w:hAnsi="宋体" w:eastAsia="宋体" w:cs="宋体"/>
          <w:sz w:val="24"/>
          <w:szCs w:val="24"/>
          <w:lang w:val="en-US" w:eastAsia="zh-CN"/>
        </w:rPr>
        <w:t>3-6</w:t>
      </w:r>
      <w:r>
        <w:rPr>
          <w:rFonts w:hint="eastAsia" w:ascii="宋体" w:hAnsi="宋体" w:eastAsia="宋体" w:cs="宋体"/>
          <w:sz w:val="24"/>
          <w:szCs w:val="24"/>
          <w:lang w:val="en-US" w:eastAsia="zh-CN"/>
        </w:rPr>
        <w:t>岁儿童学习与发展指南［</w:t>
      </w:r>
      <w:r>
        <w:rPr>
          <w:rFonts w:hint="default" w:ascii="宋体" w:hAnsi="宋体" w:eastAsia="宋体" w:cs="宋体"/>
          <w:sz w:val="24"/>
          <w:szCs w:val="24"/>
          <w:lang w:val="en-US" w:eastAsia="zh-CN"/>
        </w:rPr>
        <w:t>M</w:t>
      </w:r>
      <w:r>
        <w:rPr>
          <w:rFonts w:hint="eastAsia" w:ascii="宋体" w:hAnsi="宋体" w:eastAsia="宋体" w:cs="宋体"/>
          <w:sz w:val="24"/>
          <w:szCs w:val="24"/>
          <w:lang w:val="en-US" w:eastAsia="zh-CN"/>
        </w:rPr>
        <w:t>］背景：首都师范大学出版社，</w:t>
      </w:r>
      <w:r>
        <w:rPr>
          <w:rFonts w:hint="default" w:ascii="宋体" w:hAnsi="宋体" w:eastAsia="宋体" w:cs="宋体"/>
          <w:sz w:val="24"/>
          <w:szCs w:val="24"/>
          <w:lang w:val="en-US" w:eastAsia="zh-CN"/>
        </w:rPr>
        <w:t>2012</w:t>
      </w:r>
      <w:r>
        <w:rPr>
          <w:rFonts w:hint="eastAsia" w:ascii="宋体" w:hAnsi="宋体" w:eastAsia="宋体" w:cs="宋体"/>
          <w:sz w:val="24"/>
          <w:szCs w:val="24"/>
          <w:lang w:val="en-US" w:eastAsia="zh-CN"/>
        </w:rPr>
        <w:t>年．</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］陈鹤琴,陈秀云.陈鹤琴教育思想读本:幼稚教育[M]. 南京:南京师范大学出版社,2012:114.</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］牛玲.关于幼儿自主探究意识与能力培养的一些策略［J］．学周刊幼教园地，2018，3（第7期）.</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4</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"https://kns.cnki.net/kcms2/author/detail?v=Sea5Lprb1OrNmIm0M-qITFSVwlb1W4kbRC8x_ZkSCsr6ahd9i3g2F-XjbB-G5-9DSblue1Wp3UOQ36Mq8yfvPKbjflcUDyJhuFLgJ7ljA_c=&amp;uniplatform=NZKPT"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李蓓</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.让幼儿心智自由地学习——幼儿园项目化学习的实践与思考</w:t>
      </w:r>
      <w:r>
        <w:rPr>
          <w:rFonts w:hint="default" w:ascii="宋体" w:hAnsi="宋体" w:eastAsia="宋体" w:cs="宋体"/>
          <w:sz w:val="24"/>
          <w:szCs w:val="24"/>
          <w:lang w:val="en-US" w:eastAsia="zh-CN"/>
        </w:rPr>
        <w:t>［J］．</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"https://navi.cnki.net/knavi/journals/YEJY/detail?uniplatform=NZKPT"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幼儿教育</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"https://navi.cnki.net/knavi/journals/YEJY/issues/Sea5Lprb1Oo0iagkU11LCfU_jMdA7QdTWpbJ1CEcK2xjHfWNYmdb4Kal1n0zHGaq?uniplatform=NZKPT"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2018(34)</w:t>
      </w:r>
      <w:r>
        <w:rPr>
          <w:rFonts w:hint="default" w:ascii="宋体" w:hAnsi="宋体" w:eastAsia="宋体" w:cs="宋体"/>
          <w:sz w:val="24"/>
          <w:szCs w:val="24"/>
          <w:lang w:val="en-US" w:eastAsia="zh-CN"/>
        </w:rPr>
        <w:fldChar w:fldCharType="end"/>
      </w:r>
    </w:p>
    <w:p>
      <w:pPr>
        <w:spacing w:line="380" w:lineRule="exact"/>
        <w:rPr>
          <w:rFonts w:hint="default" w:ascii="宋体" w:hAnsi="宋体" w:eastAsia="宋体" w:cs="宋体"/>
          <w:sz w:val="24"/>
          <w:szCs w:val="24"/>
          <w:lang w:val="en-US" w:eastAsia="zh-CN"/>
        </w:rPr>
      </w:pPr>
      <w:r>
        <w:rPr>
          <w:rFonts w:hint="eastAsia" w:ascii="宋体" w:hAnsi="宋体" w:eastAsia="宋体" w:cs="Times New Roman"/>
          <w:sz w:val="24"/>
          <w:szCs w:val="24"/>
        </w:rPr>
        <w:t>［</w:t>
      </w:r>
      <w:r>
        <w:rPr>
          <w:rFonts w:hint="eastAsia" w:ascii="宋体" w:hAnsi="宋体" w:eastAsia="宋体" w:cs="Times New Roman"/>
          <w:sz w:val="24"/>
          <w:szCs w:val="24"/>
          <w:lang w:val="en-US" w:eastAsia="zh-CN"/>
        </w:rPr>
        <w:t>5</w:t>
      </w:r>
      <w:r>
        <w:rPr>
          <w:rFonts w:ascii="宋体" w:hAnsi="宋体" w:eastAsia="宋体" w:cs="Times New Roman"/>
          <w:sz w:val="24"/>
          <w:szCs w:val="24"/>
        </w:rPr>
        <w:t>］</w:t>
      </w:r>
      <w:r>
        <w:rPr>
          <w:rFonts w:hint="eastAsia" w:ascii="宋体" w:hAnsi="宋体" w:eastAsia="宋体" w:cs="Times New Roman"/>
          <w:sz w:val="24"/>
          <w:szCs w:val="24"/>
        </w:rPr>
        <w:t>唐艳艳</w:t>
      </w:r>
      <w:r>
        <w:rPr>
          <w:rFonts w:ascii="宋体" w:hAnsi="宋体" w:eastAsia="宋体" w:cs="Times New Roman"/>
          <w:sz w:val="24"/>
          <w:szCs w:val="24"/>
        </w:rPr>
        <w:t>.自然角中支持幼儿自主探究的策略［J］．幼儿教育研究，2019，第3期.</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6</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"https://kns.cnki.net/kcms2/author/detail?v=Sea5Lprb1OotZd3a07lMcWZnWRHpzDlT6HYsaIHH9vKULnIaeWhdlhFB5DgchIA_PC8AHroTwfheDamgjYLumsIkqEXtuIWgpio7QrQK4-o=&amp;uniplatform=NZKPT"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桑国元</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"https://kns.cnki.net/kcms2/author/detail?v=Sea5Lprb1OotZd3a07lMcWZnWRHpzDlTjQqgKknAL18WWa5fLRdpYSsSSwkrv7h8KccgfUt2AxgkKI_fYojpe9Nr-cPMyXo00iWp80pX8oE=&amp;uniplatform=NZKPT"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王佳怡</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.项目化学习在幼儿园活动中的实施</w:t>
      </w:r>
      <w:r>
        <w:rPr>
          <w:rFonts w:hint="default" w:ascii="宋体" w:hAnsi="宋体" w:eastAsia="宋体" w:cs="宋体"/>
          <w:sz w:val="24"/>
          <w:szCs w:val="24"/>
          <w:lang w:val="en-US" w:eastAsia="zh-CN"/>
        </w:rPr>
        <w:t>［J］．</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"https://navi.cnki.net/knavi/journals/JYLL/detail?uniplatform=NZKPT"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教育理论与实践</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"https://navi.cnki.net/knavi/journals/JYLL/issues/Sea5Lprb1OoISy-wvUIOOYEteQyDyFhgTTsMp2Yo3fsIDAed_2ZDbvqoaFDnzIVW?uniplatform=NZKPT"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2021,41(26)</w:t>
      </w:r>
      <w:r>
        <w:rPr>
          <w:rFonts w:hint="default" w:ascii="宋体" w:hAnsi="宋体" w:eastAsia="宋体" w:cs="宋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7</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"https://kns.cnki.net/kns8/Detail?sdb=CJFD&amp;sfield=%e4%bd%9c%e8%80%85&amp;skey=%e4%be%af%e7%bf%a0%e7%8e%b2&amp;scode=000021266085&amp;acode=000021266085" \t "https://kns.cnki.net/kns8/defaultresult/knet"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侯翠玲</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"https://kns.cnki.net/kns8/Detail?sfield=fn&amp;QueryID=17&amp;CurRec=11&amp;recid=&amp;FileName=ZYJS202216003&amp;DbName=CJFDLAST2022&amp;DbCode=CJFD&amp;yx=&amp;pr=CFJD2022;&amp;URLID=" \t "https://kns.cnki.net/kns8/defaultresult/_blank"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幼儿园项目化学习的价值意蕴和实践样态</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en-US" w:eastAsia="zh-CN"/>
        </w:rPr>
        <w:t>［J］．</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"https://kns.cnki.net/kns8/Navi?DBCode=CJFD&amp;BaseID=ZYJS" \t "https://kns.cnki.net/kns8/defaultresult/_blank"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教育科学论坛</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.2022(06).</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8</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"https://kns.cnki.net/kns8/Detail?sdb=CJFD&amp;sfield=%e4%bd%9c%e8%80%85&amp;skey=%e5%bc%a0%e8%8e%89&amp;scode=000031824742&amp;acode=000031824742" \t "https://kns.cnki.net/kns8/defaultresult/knet"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张莉</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"https://kns.cnki.net/kns8/Detail?sfield=fn&amp;QueryID=0&amp;CurRec=11&amp;recid=&amp;FileName=YJYE202006007&amp;DbName=CJFDLASN2020&amp;DbCode=CJFD&amp;yx=&amp;pr=CFJD2020;&amp;URLID=" \t "https://kns.cnki.net/kns8/defaultresult/_blank"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基于</w:t>
      </w:r>
      <w:r>
        <w:rPr>
          <w:rFonts w:hint="eastAsia" w:ascii="宋体" w:hAnsi="宋体" w:eastAsia="宋体" w:cs="宋体"/>
          <w:sz w:val="24"/>
          <w:szCs w:val="24"/>
          <w:lang w:val="en-US" w:eastAsia="zh-CN"/>
        </w:rPr>
        <w:t>项目化</w:t>
      </w:r>
      <w:r>
        <w:rPr>
          <w:rFonts w:hint="default" w:ascii="宋体" w:hAnsi="宋体" w:eastAsia="宋体" w:cs="宋体"/>
          <w:sz w:val="24"/>
          <w:szCs w:val="24"/>
          <w:lang w:val="en-US" w:eastAsia="zh-CN"/>
        </w:rPr>
        <w:t>学习(PBL)的幼儿园课程:核心理念与实施路径</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en-US" w:eastAsia="zh-CN"/>
        </w:rPr>
        <w:t>［J］．</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"https://kns.cnki.net/kns8/Navi?DBCode=CJFD&amp;BaseID=YJYE" \t "https://kns.cnki.net/kns8/defaultresult/_blank"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教育导刊(下半月)</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,2022(06).</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9</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"https://kns.cnki.net/kcms2/author/detail?v=Sea5Lprb1OpIAzOYxnTPhS3b0WYuO0Yq_WbknBgUUZ0Ft4sHej5ItN5mMEFTX6U3poPmHeh4LMMDtgz6ITBGIN-OJBK8yj0mIgCzX3Ky59A=&amp;uniplatform=NZKPT"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王孟萌</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项目活动中关注儿童学习主动性的驱动性问题设计［J］．</w:t>
      </w:r>
      <w:r>
        <w:rPr>
          <w:rFonts w:hint="eastAsia" w:ascii="宋体" w:hAnsi="宋体" w:eastAsia="宋体" w:cs="宋体"/>
          <w:sz w:val="24"/>
          <w:szCs w:val="24"/>
          <w:lang w:val="en-US" w:eastAsia="zh-CN"/>
        </w:rPr>
        <w:t>福建基础教育研究,2022(09).</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10</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"https://kns.cnki.net/kns8/Detail?sdb=CJFD&amp;sfield=%e4%bd%9c%e8%80%85&amp;skey=%e5%be%90%e5%ae%87%e8%88%aa&amp;scode=000051231978&amp;acode=000051231978" \t "https://kns.cnki.net/kns8/defaultresult/knet"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徐宇航</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基于项目化学习的幼儿园“慧探课程”实践研究［J］．</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"https://kns.cnki.net/kns8/Navi?DBCode=CJFD&amp;BaseID=STYJ" \t "https://kns.cnki.net/kns8/defaultresult/_blank"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试题与研究</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.2022(12).</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11</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"https://kns.cnki.net/kcms2/author/detail?v=Sea5Lprb1OonGlZzrRHtBFi1XvF5nxQOMLHrTKO4Ig8aaP9K3vsAOdPayURLaljdDNj_NV8oUowuVWLOAU_J094SdwbdbRi7zE3N93ZOHdA=&amp;uniplatform=NZKPT" \t "https://kns.cnki.net/kcms2/article/_blank"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李岩松</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HYPERLINK "https://kns.cnki.net/kns8/Detail?sfield=fn&amp;QueryID=17&amp;CurRec=1&amp;recid=&amp;FileName=ZLLZ202306040&amp;DbName=CJFDAUTN&amp;DbCode=CJFD&amp;yx=&amp;pr=CFJD2023;&amp;URLID=" \t "https://kns.cnki.net/kns8/defaultresult/_blank"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幼儿园项目化学习的价值探讨及实践策略</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en-US" w:eastAsia="zh-CN"/>
        </w:rPr>
        <w:t>［J］．</w:t>
      </w:r>
      <w:r>
        <w:rPr>
          <w:rFonts w:hint="eastAsia" w:ascii="宋体" w:hAnsi="宋体" w:eastAsia="宋体" w:cs="宋体"/>
          <w:sz w:val="24"/>
          <w:szCs w:val="24"/>
          <w:lang w:val="en-US" w:eastAsia="zh-CN"/>
        </w:rPr>
        <w:t>智力.2023.</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righ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金阳幼儿园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righ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范      君</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right"/>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2021年6月</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default" w:ascii="宋体" w:hAnsi="宋体" w:eastAsia="宋体" w:cs="宋体"/>
          <w:lang w:val="en-US" w:eastAsia="zh-CN"/>
        </w:rPr>
      </w:pPr>
    </w:p>
    <w:p>
      <w:pPr>
        <w:jc w:val="left"/>
        <w:rPr>
          <w:rFonts w:hint="default" w:ascii="黑体" w:hAnsi="黑体" w:eastAsia="黑体" w:cs="黑体"/>
          <w:b/>
          <w:bCs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Calibri">
    <w:panose1 w:val="020F0502020204030204"/>
    <w:charset w:val="01"/>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144E8"/>
    <w:multiLevelType w:val="singleLevel"/>
    <w:tmpl w:val="81A144E8"/>
    <w:lvl w:ilvl="0" w:tentative="0">
      <w:start w:val="1"/>
      <w:numFmt w:val="chineseCounting"/>
      <w:suff w:val="nothing"/>
      <w:lvlText w:val="（%1）"/>
      <w:lvlJc w:val="left"/>
      <w:rPr>
        <w:rFonts w:hint="eastAsia"/>
      </w:rPr>
    </w:lvl>
  </w:abstractNum>
  <w:abstractNum w:abstractNumId="1">
    <w:nsid w:val="2891604A"/>
    <w:multiLevelType w:val="singleLevel"/>
    <w:tmpl w:val="2891604A"/>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ODRiOTZkNmYyZjVlM2E1MTQ0NDVjZDY3ZjM3YzAifQ=="/>
  </w:docVars>
  <w:rsids>
    <w:rsidRoot w:val="45FC707E"/>
    <w:rsid w:val="04E4079E"/>
    <w:rsid w:val="095D40D2"/>
    <w:rsid w:val="0AFE0715"/>
    <w:rsid w:val="10E24DDC"/>
    <w:rsid w:val="13471879"/>
    <w:rsid w:val="1A98650B"/>
    <w:rsid w:val="1AC565B0"/>
    <w:rsid w:val="1CAA50C0"/>
    <w:rsid w:val="1D15508A"/>
    <w:rsid w:val="213B4094"/>
    <w:rsid w:val="25F93BF8"/>
    <w:rsid w:val="262B2929"/>
    <w:rsid w:val="26AB1319"/>
    <w:rsid w:val="28163538"/>
    <w:rsid w:val="2C063C1D"/>
    <w:rsid w:val="2FEC3129"/>
    <w:rsid w:val="3579545F"/>
    <w:rsid w:val="3E642A25"/>
    <w:rsid w:val="45121C88"/>
    <w:rsid w:val="45FC707E"/>
    <w:rsid w:val="4E455C29"/>
    <w:rsid w:val="4E6879C7"/>
    <w:rsid w:val="5100482F"/>
    <w:rsid w:val="56114B58"/>
    <w:rsid w:val="570D1A54"/>
    <w:rsid w:val="58597026"/>
    <w:rsid w:val="58B008E9"/>
    <w:rsid w:val="594674FD"/>
    <w:rsid w:val="5D2B3A25"/>
    <w:rsid w:val="6B9B2D32"/>
    <w:rsid w:val="6E4062DB"/>
    <w:rsid w:val="70E7024E"/>
    <w:rsid w:val="7DA91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paragraph" w:customStyle="1" w:styleId="10">
    <w:name w:val="p0"/>
    <w:basedOn w:val="1"/>
    <w:uiPriority w:val="0"/>
    <w:pPr>
      <w:widowControl/>
    </w:pPr>
    <w:rPr>
      <w:kern w:val="0"/>
      <w:szCs w:val="21"/>
    </w:rPr>
  </w:style>
  <w:style w:type="paragraph" w:customStyle="1" w:styleId="11">
    <w:name w:val="p16"/>
    <w:basedOn w:val="1"/>
    <w:qFormat/>
    <w:uiPriority w:val="0"/>
    <w:pPr>
      <w:widowControl/>
    </w:pPr>
    <w:rPr>
      <w:kern w:val="0"/>
      <w:szCs w:val="21"/>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diagramLayout" Target="diagrams/layout1.xml"/><Relationship Id="rId8" Type="http://schemas.openxmlformats.org/officeDocument/2006/relationships/diagramData" Target="diagrams/data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microsoft.com/office/2007/relationships/diagramDrawing" Target="diagrams/drawing1.xml"/><Relationship Id="rId11" Type="http://schemas.openxmlformats.org/officeDocument/2006/relationships/diagramColors" Target="diagrams/colors1.xml"/><Relationship Id="rId10" Type="http://schemas.openxmlformats.org/officeDocument/2006/relationships/diagramQuickStyle" Target="diagrams/quickStyl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D0B84F6F-06BD-3040-BE4F-C201E8F59AFE}" type="doc">
      <dgm:prSet loTypeId="urn:microsoft.com/office/officeart/2005/8/layout/cycle2" loCatId="" qsTypeId="urn:microsoft.com/office/officeart/2005/8/quickstyle/simple4#1" qsCatId="simple" csTypeId="urn:microsoft.com/office/officeart/2005/8/colors/accent1_2#1" csCatId="accent1" phldr="1"/>
      <dgm:spPr/>
      <dgm:t>
        <a:bodyPr/>
        <a:p>
          <a:endParaRPr lang="zh-CN" altLang="en-US"/>
        </a:p>
      </dgm:t>
    </dgm:pt>
    <dgm:pt modelId="{EF32D235-7395-704B-9A2D-43555AF1FDF2}">
      <dgm:prSet phldrT="[文本]"/>
      <dgm:spPr>
        <a:xfrm>
          <a:off x="1943661" y="178"/>
          <a:ext cx="840252" cy="840252"/>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gm:spPr>
      <dgm:t>
        <a:bodyPr/>
        <a:p>
          <a:pPr>
            <a:buNone/>
          </a:pPr>
          <a:r>
            <a:rPr lang="zh-CN" altLang="en-US">
              <a:solidFill>
                <a:sysClr val="window" lastClr="FFFFFF"/>
              </a:solidFill>
              <a:latin typeface="Calibri" panose="020F0502020204030204"/>
              <a:ea typeface="宋体" panose="02010600030101010101" charset="-122"/>
              <a:cs typeface="+mn-cs"/>
            </a:rPr>
            <a:t>环境支持</a:t>
          </a:r>
          <a:endParaRPr lang="en-US" altLang="zh-CN">
            <a:solidFill>
              <a:sysClr val="window" lastClr="FFFFFF"/>
            </a:solidFill>
            <a:latin typeface="Calibri" panose="020F0502020204030204"/>
            <a:ea typeface="宋体" panose="02010600030101010101" charset="-122"/>
            <a:cs typeface="+mn-cs"/>
          </a:endParaRPr>
        </a:p>
        <a:p>
          <a:pPr>
            <a:buNone/>
          </a:pPr>
          <a:r>
            <a:rPr lang="zh-CN" altLang="en-US">
              <a:solidFill>
                <a:sysClr val="window" lastClr="FFFFFF"/>
              </a:solidFill>
              <a:latin typeface="Calibri" panose="020F0502020204030204"/>
              <a:ea typeface="宋体" panose="02010600030101010101" charset="-122"/>
              <a:cs typeface="+mn-cs"/>
            </a:rPr>
            <a:t>动态呈现</a:t>
          </a:r>
        </a:p>
      </dgm:t>
    </dgm:pt>
    <dgm:pt modelId="{9C010AF2-5179-3945-8828-67161B7BDECD}" cxnId="{5F9CC051-F03D-9240-B417-42A274D6D148}" type="parTrans">
      <dgm:prSet/>
      <dgm:spPr/>
      <dgm:t>
        <a:bodyPr/>
        <a:p>
          <a:endParaRPr lang="zh-CN" altLang="en-US"/>
        </a:p>
      </dgm:t>
    </dgm:pt>
    <dgm:pt modelId="{EB1B6135-164F-654D-8E59-F92975491EF3}" cxnId="{5F9CC051-F03D-9240-B417-42A274D6D148}" type="sibTrans">
      <dgm:prSet/>
      <dgm:spPr>
        <a:xfrm rot="2114417">
          <a:off x="2759047" y="632181"/>
          <a:ext cx="210701" cy="28358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gm:spPr>
      <dgm:t>
        <a:bodyPr/>
        <a:p>
          <a:pPr>
            <a:buNone/>
          </a:pPr>
          <a:endParaRPr lang="zh-CN" altLang="en-US">
            <a:solidFill>
              <a:sysClr val="window" lastClr="FFFFFF"/>
            </a:solidFill>
            <a:latin typeface="Calibri" panose="020F0502020204030204"/>
            <a:ea typeface="宋体" panose="02010600030101010101" charset="-122"/>
            <a:cs typeface="+mn-cs"/>
          </a:endParaRPr>
        </a:p>
      </dgm:t>
    </dgm:pt>
    <dgm:pt modelId="{2487F869-F1C2-364E-9F68-80987D2E7FFA}">
      <dgm:prSet phldrT="[文本]"/>
      <dgm:spPr>
        <a:xfrm>
          <a:off x="2954622" y="714398"/>
          <a:ext cx="840252" cy="840252"/>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gm:spPr>
      <dgm:t>
        <a:bodyPr/>
        <a:p>
          <a:pPr>
            <a:buNone/>
          </a:pPr>
          <a:r>
            <a:rPr lang="zh-CN" altLang="en-US">
              <a:solidFill>
                <a:sysClr val="window" lastClr="FFFFFF"/>
              </a:solidFill>
              <a:latin typeface="Calibri" panose="020F0502020204030204"/>
              <a:ea typeface="宋体" panose="02010600030101010101" charset="-122"/>
              <a:cs typeface="+mn-cs"/>
            </a:rPr>
            <a:t>问题驱动</a:t>
          </a:r>
          <a:endParaRPr lang="en-US" altLang="zh-CN">
            <a:solidFill>
              <a:sysClr val="window" lastClr="FFFFFF"/>
            </a:solidFill>
            <a:latin typeface="Calibri" panose="020F0502020204030204"/>
            <a:ea typeface="宋体" panose="02010600030101010101" charset="-122"/>
            <a:cs typeface="+mn-cs"/>
          </a:endParaRPr>
        </a:p>
        <a:p>
          <a:pPr>
            <a:buNone/>
          </a:pPr>
          <a:r>
            <a:rPr lang="zh-CN" altLang="en-US">
              <a:solidFill>
                <a:sysClr val="window" lastClr="FFFFFF"/>
              </a:solidFill>
              <a:latin typeface="Calibri" panose="020F0502020204030204"/>
              <a:ea typeface="宋体" panose="02010600030101010101" charset="-122"/>
              <a:cs typeface="+mn-cs"/>
            </a:rPr>
            <a:t>引发探究</a:t>
          </a:r>
        </a:p>
      </dgm:t>
    </dgm:pt>
    <dgm:pt modelId="{7779846C-A149-A84B-8D79-E54FCF2411FD}" cxnId="{A7CDE833-D4D9-B549-90FD-A8C48018A1DA}" type="parTrans">
      <dgm:prSet/>
      <dgm:spPr/>
      <dgm:t>
        <a:bodyPr/>
        <a:p>
          <a:endParaRPr lang="zh-CN" altLang="en-US"/>
        </a:p>
      </dgm:t>
    </dgm:pt>
    <dgm:pt modelId="{B3BAD0C0-B65F-2F4E-8F61-B53EE1F17E09}" cxnId="{A7CDE833-D4D9-B549-90FD-A8C48018A1DA}" type="sibTrans">
      <dgm:prSet/>
      <dgm:spPr>
        <a:xfrm rot="6432855">
          <a:off x="3068862" y="1599917"/>
          <a:ext cx="235531" cy="28358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gm:spPr>
      <dgm:t>
        <a:bodyPr/>
        <a:p>
          <a:pPr>
            <a:buNone/>
          </a:pPr>
          <a:endParaRPr lang="zh-CN" altLang="en-US">
            <a:solidFill>
              <a:sysClr val="window" lastClr="FFFFFF"/>
            </a:solidFill>
            <a:latin typeface="Calibri" panose="020F0502020204030204"/>
            <a:ea typeface="宋体" panose="02010600030101010101" charset="-122"/>
            <a:cs typeface="+mn-cs"/>
          </a:endParaRPr>
        </a:p>
      </dgm:t>
    </dgm:pt>
    <dgm:pt modelId="{E658B6BB-66D1-E54F-9893-17B08111434A}">
      <dgm:prSet phldrT="[文本]"/>
      <dgm:spPr>
        <a:xfrm>
          <a:off x="2574436" y="1941503"/>
          <a:ext cx="840252" cy="840252"/>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gm:spPr>
      <dgm:t>
        <a:bodyPr/>
        <a:p>
          <a:pPr>
            <a:buNone/>
          </a:pPr>
          <a:r>
            <a:rPr lang="zh-CN" altLang="en-US">
              <a:solidFill>
                <a:sysClr val="window" lastClr="FFFFFF"/>
              </a:solidFill>
              <a:latin typeface="Calibri" panose="020F0502020204030204"/>
              <a:ea typeface="宋体" panose="02010600030101010101" charset="-122"/>
              <a:cs typeface="+mn-cs"/>
            </a:rPr>
            <a:t>多元支持</a:t>
          </a:r>
          <a:endParaRPr lang="en-US" altLang="zh-CN">
            <a:solidFill>
              <a:sysClr val="window" lastClr="FFFFFF"/>
            </a:solidFill>
            <a:latin typeface="Calibri" panose="020F0502020204030204"/>
            <a:ea typeface="宋体" panose="02010600030101010101" charset="-122"/>
            <a:cs typeface="+mn-cs"/>
          </a:endParaRPr>
        </a:p>
        <a:p>
          <a:pPr>
            <a:buNone/>
          </a:pPr>
          <a:r>
            <a:rPr lang="zh-CN" altLang="en-US">
              <a:solidFill>
                <a:sysClr val="window" lastClr="FFFFFF"/>
              </a:solidFill>
              <a:latin typeface="Calibri" panose="020F0502020204030204"/>
              <a:ea typeface="宋体" panose="02010600030101010101" charset="-122"/>
              <a:cs typeface="+mn-cs"/>
            </a:rPr>
            <a:t>引导实践</a:t>
          </a:r>
        </a:p>
      </dgm:t>
    </dgm:pt>
    <dgm:pt modelId="{36B7B8E8-502D-5644-B697-D6FD220FA106}" cxnId="{DAA6A13E-6339-FC42-B615-42649F6281BE}" type="parTrans">
      <dgm:prSet/>
      <dgm:spPr/>
      <dgm:t>
        <a:bodyPr/>
        <a:p>
          <a:endParaRPr lang="zh-CN" altLang="en-US"/>
        </a:p>
      </dgm:t>
    </dgm:pt>
    <dgm:pt modelId="{50A8A2A2-A313-B34A-B3AE-DD9E5D1AEBD8}" cxnId="{DAA6A13E-6339-FC42-B615-42649F6281BE}" type="sibTrans">
      <dgm:prSet/>
      <dgm:spPr>
        <a:xfrm rot="10800000">
          <a:off x="2258463" y="2219837"/>
          <a:ext cx="223287" cy="28358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gm:spPr>
      <dgm:t>
        <a:bodyPr/>
        <a:p>
          <a:pPr>
            <a:buNone/>
          </a:pPr>
          <a:endParaRPr lang="zh-CN" altLang="en-US">
            <a:solidFill>
              <a:sysClr val="window" lastClr="FFFFFF"/>
            </a:solidFill>
            <a:latin typeface="Calibri" panose="020F0502020204030204"/>
            <a:ea typeface="宋体" panose="02010600030101010101" charset="-122"/>
            <a:cs typeface="+mn-cs"/>
          </a:endParaRPr>
        </a:p>
      </dgm:t>
    </dgm:pt>
    <dgm:pt modelId="{2CFF2B79-25D5-0E49-B700-E7A6185896DA}">
      <dgm:prSet phldrT="[文本]"/>
      <dgm:spPr>
        <a:xfrm>
          <a:off x="1312886" y="1941503"/>
          <a:ext cx="840252" cy="840252"/>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gm:spPr>
      <dgm:t>
        <a:bodyPr/>
        <a:p>
          <a:pPr>
            <a:buNone/>
          </a:pPr>
          <a:r>
            <a:rPr lang="zh-CN" altLang="en-US">
              <a:solidFill>
                <a:sysClr val="window" lastClr="FFFFFF"/>
              </a:solidFill>
              <a:latin typeface="Calibri" panose="020F0502020204030204"/>
              <a:ea typeface="宋体" panose="02010600030101010101" charset="-122"/>
              <a:cs typeface="+mn-cs"/>
            </a:rPr>
            <a:t>经验梳理</a:t>
          </a:r>
          <a:endParaRPr lang="en-US" altLang="zh-CN">
            <a:solidFill>
              <a:sysClr val="window" lastClr="FFFFFF"/>
            </a:solidFill>
            <a:latin typeface="Calibri" panose="020F0502020204030204"/>
            <a:ea typeface="宋体" panose="02010600030101010101" charset="-122"/>
            <a:cs typeface="+mn-cs"/>
          </a:endParaRPr>
        </a:p>
        <a:p>
          <a:pPr>
            <a:buNone/>
          </a:pPr>
          <a:r>
            <a:rPr lang="zh-CN" altLang="en-US">
              <a:solidFill>
                <a:sysClr val="window" lastClr="FFFFFF"/>
              </a:solidFill>
              <a:latin typeface="Calibri" panose="020F0502020204030204"/>
              <a:ea typeface="宋体" panose="02010600030101010101" charset="-122"/>
              <a:cs typeface="+mn-cs"/>
            </a:rPr>
            <a:t>解决问题</a:t>
          </a:r>
        </a:p>
      </dgm:t>
    </dgm:pt>
    <dgm:pt modelId="{7D5BC77C-EA71-F343-97EA-1EE3A313E481}" cxnId="{50F18802-3BE3-F447-8764-C071957948F2}" type="parTrans">
      <dgm:prSet/>
      <dgm:spPr/>
      <dgm:t>
        <a:bodyPr/>
        <a:p>
          <a:endParaRPr lang="zh-CN" altLang="en-US"/>
        </a:p>
      </dgm:t>
    </dgm:pt>
    <dgm:pt modelId="{B7865A99-E1E8-114B-8E47-A93310D2BFFD}" cxnId="{50F18802-3BE3-F447-8764-C071957948F2}" type="sibTrans">
      <dgm:prSet/>
      <dgm:spPr>
        <a:xfrm rot="15120000">
          <a:off x="1428401" y="1625945"/>
          <a:ext cx="223287" cy="28358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gm:spPr>
      <dgm:t>
        <a:bodyPr/>
        <a:p>
          <a:pPr>
            <a:buNone/>
          </a:pPr>
          <a:endParaRPr lang="zh-CN" altLang="en-US">
            <a:solidFill>
              <a:sysClr val="window" lastClr="FFFFFF"/>
            </a:solidFill>
            <a:latin typeface="Calibri" panose="020F0502020204030204"/>
            <a:ea typeface="宋体" panose="02010600030101010101" charset="-122"/>
            <a:cs typeface="+mn-cs"/>
          </a:endParaRPr>
        </a:p>
      </dgm:t>
    </dgm:pt>
    <dgm:pt modelId="{46909CA8-FE4F-8C4C-92F3-DD9D5316D5BA}">
      <dgm:prSet phldrT="[文本]"/>
      <dgm:spPr>
        <a:xfrm>
          <a:off x="923046" y="741698"/>
          <a:ext cx="840252" cy="840252"/>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gm:spPr>
      <dgm:t>
        <a:bodyPr/>
        <a:p>
          <a:pPr>
            <a:buNone/>
          </a:pPr>
          <a:r>
            <a:rPr lang="zh-CN" altLang="en-US">
              <a:solidFill>
                <a:sysClr val="window" lastClr="FFFFFF"/>
              </a:solidFill>
              <a:latin typeface="Calibri" panose="020F0502020204030204"/>
              <a:ea typeface="宋体" panose="02010600030101010101" charset="-122"/>
              <a:cs typeface="+mn-cs"/>
            </a:rPr>
            <a:t>成果分享</a:t>
          </a:r>
          <a:endParaRPr lang="en-US" altLang="zh-CN">
            <a:solidFill>
              <a:sysClr val="window" lastClr="FFFFFF"/>
            </a:solidFill>
            <a:latin typeface="Calibri" panose="020F0502020204030204"/>
            <a:ea typeface="宋体" panose="02010600030101010101" charset="-122"/>
            <a:cs typeface="+mn-cs"/>
          </a:endParaRPr>
        </a:p>
        <a:p>
          <a:pPr>
            <a:buNone/>
          </a:pPr>
          <a:r>
            <a:rPr lang="zh-CN" altLang="en-US">
              <a:solidFill>
                <a:sysClr val="window" lastClr="FFFFFF"/>
              </a:solidFill>
              <a:latin typeface="Calibri" panose="020F0502020204030204"/>
              <a:ea typeface="宋体" panose="02010600030101010101" charset="-122"/>
              <a:cs typeface="+mn-cs"/>
            </a:rPr>
            <a:t>注重过程</a:t>
          </a:r>
        </a:p>
      </dgm:t>
    </dgm:pt>
    <dgm:pt modelId="{76451FBC-E6AB-EA48-8CFB-4694A639B6EE}" cxnId="{ED725920-C339-AD46-B43D-47158BC9992D}" type="parTrans">
      <dgm:prSet/>
      <dgm:spPr/>
      <dgm:t>
        <a:bodyPr/>
        <a:p>
          <a:endParaRPr lang="zh-CN" altLang="en-US"/>
        </a:p>
      </dgm:t>
    </dgm:pt>
    <dgm:pt modelId="{0ACE2994-7AF2-4842-BE6C-D97AFE45E5E8}" cxnId="{ED725920-C339-AD46-B43D-47158BC9992D}" type="sibTrans">
      <dgm:prSet/>
      <dgm:spPr>
        <a:xfrm rot="19440000">
          <a:off x="1736723" y="652986"/>
          <a:ext cx="223287" cy="28358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gm:spPr>
      <dgm:t>
        <a:bodyPr/>
        <a:p>
          <a:pPr>
            <a:buNone/>
          </a:pPr>
          <a:endParaRPr lang="zh-CN" altLang="en-US">
            <a:solidFill>
              <a:sysClr val="window" lastClr="FFFFFF"/>
            </a:solidFill>
            <a:latin typeface="Calibri" panose="020F0502020204030204"/>
            <a:ea typeface="宋体" panose="02010600030101010101" charset="-122"/>
            <a:cs typeface="+mn-cs"/>
          </a:endParaRPr>
        </a:p>
      </dgm:t>
    </dgm:pt>
    <dgm:pt modelId="{AC65E384-858C-4B43-92D4-D72EB3F804FC}" type="pres">
      <dgm:prSet presAssocID="{D0B84F6F-06BD-3040-BE4F-C201E8F59AFE}" presName="cycle" presStyleCnt="0">
        <dgm:presLayoutVars>
          <dgm:dir/>
          <dgm:resizeHandles val="exact"/>
        </dgm:presLayoutVars>
      </dgm:prSet>
      <dgm:spPr/>
    </dgm:pt>
    <dgm:pt modelId="{D03AAA64-8711-5A41-B09E-F03D61FFF27A}" type="pres">
      <dgm:prSet presAssocID="{EF32D235-7395-704B-9A2D-43555AF1FDF2}" presName="node" presStyleLbl="node1" presStyleIdx="0" presStyleCnt="5">
        <dgm:presLayoutVars>
          <dgm:bulletEnabled val="1"/>
        </dgm:presLayoutVars>
      </dgm:prSet>
      <dgm:spPr/>
    </dgm:pt>
    <dgm:pt modelId="{B92A1B38-407F-0343-B182-9947DE430385}" type="pres">
      <dgm:prSet presAssocID="{EB1B6135-164F-654D-8E59-F92975491EF3}" presName="sibTrans" presStyleLbl="sibTrans2D1" presStyleIdx="0" presStyleCnt="5"/>
      <dgm:spPr/>
    </dgm:pt>
    <dgm:pt modelId="{CB589D07-C2A0-5F4F-B38E-17C4BDF0C021}" type="pres">
      <dgm:prSet presAssocID="{EB1B6135-164F-654D-8E59-F92975491EF3}" presName="connectorText" presStyleLbl="sibTrans2D1" presStyleIdx="0" presStyleCnt="5"/>
      <dgm:spPr/>
    </dgm:pt>
    <dgm:pt modelId="{A149D72B-FF8A-7049-8CEF-6882D47954B9}" type="pres">
      <dgm:prSet presAssocID="{2487F869-F1C2-364E-9F68-80987D2E7FFA}" presName="node" presStyleLbl="node1" presStyleIdx="1" presStyleCnt="5" custRadScaleRad="99967" custRadScaleInc="-4295">
        <dgm:presLayoutVars>
          <dgm:bulletEnabled val="1"/>
        </dgm:presLayoutVars>
      </dgm:prSet>
      <dgm:spPr/>
    </dgm:pt>
    <dgm:pt modelId="{3FBC4BBF-353D-3D42-9280-358CF0032540}" type="pres">
      <dgm:prSet presAssocID="{B3BAD0C0-B65F-2F4E-8F61-B53EE1F17E09}" presName="sibTrans" presStyleLbl="sibTrans2D1" presStyleIdx="1" presStyleCnt="5"/>
      <dgm:spPr/>
    </dgm:pt>
    <dgm:pt modelId="{61787AED-0368-874D-B44A-36BEEDB3DCB4}" type="pres">
      <dgm:prSet presAssocID="{B3BAD0C0-B65F-2F4E-8F61-B53EE1F17E09}" presName="connectorText" presStyleLbl="sibTrans2D1" presStyleIdx="1" presStyleCnt="5"/>
      <dgm:spPr/>
    </dgm:pt>
    <dgm:pt modelId="{624D0600-D960-5740-9B71-30E646693F5A}" type="pres">
      <dgm:prSet presAssocID="{E658B6BB-66D1-E54F-9893-17B08111434A}" presName="node" presStyleLbl="node1" presStyleIdx="2" presStyleCnt="5">
        <dgm:presLayoutVars>
          <dgm:bulletEnabled val="1"/>
        </dgm:presLayoutVars>
      </dgm:prSet>
      <dgm:spPr/>
    </dgm:pt>
    <dgm:pt modelId="{07E25CD0-DD9F-684C-B7E1-A27DE4B88CEA}" type="pres">
      <dgm:prSet presAssocID="{50A8A2A2-A313-B34A-B3AE-DD9E5D1AEBD8}" presName="sibTrans" presStyleLbl="sibTrans2D1" presStyleIdx="2" presStyleCnt="5"/>
      <dgm:spPr/>
    </dgm:pt>
    <dgm:pt modelId="{9F7A9917-2581-0E4D-B25C-F3D1FF426424}" type="pres">
      <dgm:prSet presAssocID="{50A8A2A2-A313-B34A-B3AE-DD9E5D1AEBD8}" presName="connectorText" presStyleLbl="sibTrans2D1" presStyleIdx="2" presStyleCnt="5"/>
      <dgm:spPr/>
    </dgm:pt>
    <dgm:pt modelId="{09D971E1-BC8D-8145-BEBB-882A69FF1C5E}" type="pres">
      <dgm:prSet presAssocID="{2CFF2B79-25D5-0E49-B700-E7A6185896DA}" presName="node" presStyleLbl="node1" presStyleIdx="3" presStyleCnt="5">
        <dgm:presLayoutVars>
          <dgm:bulletEnabled val="1"/>
        </dgm:presLayoutVars>
      </dgm:prSet>
      <dgm:spPr/>
    </dgm:pt>
    <dgm:pt modelId="{7333DFCC-A5CD-1C47-B532-FC78C057A3EF}" type="pres">
      <dgm:prSet presAssocID="{B7865A99-E1E8-114B-8E47-A93310D2BFFD}" presName="sibTrans" presStyleLbl="sibTrans2D1" presStyleIdx="3" presStyleCnt="5"/>
      <dgm:spPr/>
    </dgm:pt>
    <dgm:pt modelId="{43064249-BBDD-F645-B6E2-C6A326AE6E7B}" type="pres">
      <dgm:prSet presAssocID="{B7865A99-E1E8-114B-8E47-A93310D2BFFD}" presName="connectorText" presStyleLbl="sibTrans2D1" presStyleIdx="3" presStyleCnt="5"/>
      <dgm:spPr/>
    </dgm:pt>
    <dgm:pt modelId="{46ABD8F1-A585-E64D-B5DB-0C845871325F}" type="pres">
      <dgm:prSet presAssocID="{46909CA8-FE4F-8C4C-92F3-DD9D5316D5BA}" presName="node" presStyleLbl="node1" presStyleIdx="4" presStyleCnt="5">
        <dgm:presLayoutVars>
          <dgm:bulletEnabled val="1"/>
        </dgm:presLayoutVars>
      </dgm:prSet>
      <dgm:spPr/>
    </dgm:pt>
    <dgm:pt modelId="{9AF33125-EDA2-D446-BDC2-3353B22CCCCA}" type="pres">
      <dgm:prSet presAssocID="{0ACE2994-7AF2-4842-BE6C-D97AFE45E5E8}" presName="sibTrans" presStyleLbl="sibTrans2D1" presStyleIdx="4" presStyleCnt="5"/>
      <dgm:spPr/>
    </dgm:pt>
    <dgm:pt modelId="{1C0D2A78-8EE6-CB49-8A46-F5851E32237B}" type="pres">
      <dgm:prSet presAssocID="{0ACE2994-7AF2-4842-BE6C-D97AFE45E5E8}" presName="connectorText" presStyleLbl="sibTrans2D1" presStyleIdx="4" presStyleCnt="5"/>
      <dgm:spPr/>
    </dgm:pt>
  </dgm:ptLst>
  <dgm:cxnLst>
    <dgm:cxn modelId="{50F18802-3BE3-F447-8764-C071957948F2}" srcId="{D0B84F6F-06BD-3040-BE4F-C201E8F59AFE}" destId="{2CFF2B79-25D5-0E49-B700-E7A6185896DA}" srcOrd="3" destOrd="0" parTransId="{7D5BC77C-EA71-F343-97EA-1EE3A313E481}" sibTransId="{B7865A99-E1E8-114B-8E47-A93310D2BFFD}"/>
    <dgm:cxn modelId="{2D976318-6709-6247-9D0D-F4C668BF730C}" type="presOf" srcId="{E658B6BB-66D1-E54F-9893-17B08111434A}" destId="{624D0600-D960-5740-9B71-30E646693F5A}" srcOrd="0" destOrd="0" presId="urn:microsoft.com/office/officeart/2005/8/layout/cycle2"/>
    <dgm:cxn modelId="{ED725920-C339-AD46-B43D-47158BC9992D}" srcId="{D0B84F6F-06BD-3040-BE4F-C201E8F59AFE}" destId="{46909CA8-FE4F-8C4C-92F3-DD9D5316D5BA}" srcOrd="4" destOrd="0" parTransId="{76451FBC-E6AB-EA48-8CFB-4694A639B6EE}" sibTransId="{0ACE2994-7AF2-4842-BE6C-D97AFE45E5E8}"/>
    <dgm:cxn modelId="{A7CDE833-D4D9-B549-90FD-A8C48018A1DA}" srcId="{D0B84F6F-06BD-3040-BE4F-C201E8F59AFE}" destId="{2487F869-F1C2-364E-9F68-80987D2E7FFA}" srcOrd="1" destOrd="0" parTransId="{7779846C-A149-A84B-8D79-E54FCF2411FD}" sibTransId="{B3BAD0C0-B65F-2F4E-8F61-B53EE1F17E09}"/>
    <dgm:cxn modelId="{576CFA37-ED06-F84A-8E7E-C0BD8DA8A29F}" type="presOf" srcId="{B7865A99-E1E8-114B-8E47-A93310D2BFFD}" destId="{7333DFCC-A5CD-1C47-B532-FC78C057A3EF}" srcOrd="0" destOrd="0" presId="urn:microsoft.com/office/officeart/2005/8/layout/cycle2"/>
    <dgm:cxn modelId="{DAA6A13E-6339-FC42-B615-42649F6281BE}" srcId="{D0B84F6F-06BD-3040-BE4F-C201E8F59AFE}" destId="{E658B6BB-66D1-E54F-9893-17B08111434A}" srcOrd="2" destOrd="0" parTransId="{36B7B8E8-502D-5644-B697-D6FD220FA106}" sibTransId="{50A8A2A2-A313-B34A-B3AE-DD9E5D1AEBD8}"/>
    <dgm:cxn modelId="{5FE95D42-3180-9646-B8B6-BBB98D288D01}" type="presOf" srcId="{2CFF2B79-25D5-0E49-B700-E7A6185896DA}" destId="{09D971E1-BC8D-8145-BEBB-882A69FF1C5E}" srcOrd="0" destOrd="0" presId="urn:microsoft.com/office/officeart/2005/8/layout/cycle2"/>
    <dgm:cxn modelId="{C146E342-86F1-134D-959C-0B10B2C404AC}" type="presOf" srcId="{EB1B6135-164F-654D-8E59-F92975491EF3}" destId="{CB589D07-C2A0-5F4F-B38E-17C4BDF0C021}" srcOrd="1" destOrd="0" presId="urn:microsoft.com/office/officeart/2005/8/layout/cycle2"/>
    <dgm:cxn modelId="{5F9CC051-F03D-9240-B417-42A274D6D148}" srcId="{D0B84F6F-06BD-3040-BE4F-C201E8F59AFE}" destId="{EF32D235-7395-704B-9A2D-43555AF1FDF2}" srcOrd="0" destOrd="0" parTransId="{9C010AF2-5179-3945-8828-67161B7BDECD}" sibTransId="{EB1B6135-164F-654D-8E59-F92975491EF3}"/>
    <dgm:cxn modelId="{CA250178-20A9-AC42-9C44-6331653BD8B2}" type="presOf" srcId="{50A8A2A2-A313-B34A-B3AE-DD9E5D1AEBD8}" destId="{07E25CD0-DD9F-684C-B7E1-A27DE4B88CEA}" srcOrd="0" destOrd="0" presId="urn:microsoft.com/office/officeart/2005/8/layout/cycle2"/>
    <dgm:cxn modelId="{AD1F287F-3D09-BC46-B912-14FABF577302}" type="presOf" srcId="{B3BAD0C0-B65F-2F4E-8F61-B53EE1F17E09}" destId="{61787AED-0368-874D-B44A-36BEEDB3DCB4}" srcOrd="1" destOrd="0" presId="urn:microsoft.com/office/officeart/2005/8/layout/cycle2"/>
    <dgm:cxn modelId="{5B7D2483-590A-D64F-8C54-292CD82A97D6}" type="presOf" srcId="{D0B84F6F-06BD-3040-BE4F-C201E8F59AFE}" destId="{AC65E384-858C-4B43-92D4-D72EB3F804FC}" srcOrd="0" destOrd="0" presId="urn:microsoft.com/office/officeart/2005/8/layout/cycle2"/>
    <dgm:cxn modelId="{759714A7-D063-134F-AC20-6CA98C9FD326}" type="presOf" srcId="{B7865A99-E1E8-114B-8E47-A93310D2BFFD}" destId="{43064249-BBDD-F645-B6E2-C6A326AE6E7B}" srcOrd="1" destOrd="0" presId="urn:microsoft.com/office/officeart/2005/8/layout/cycle2"/>
    <dgm:cxn modelId="{512460B5-164A-6A4B-947F-AC5FE01912A1}" type="presOf" srcId="{0ACE2994-7AF2-4842-BE6C-D97AFE45E5E8}" destId="{9AF33125-EDA2-D446-BDC2-3353B22CCCCA}" srcOrd="0" destOrd="0" presId="urn:microsoft.com/office/officeart/2005/8/layout/cycle2"/>
    <dgm:cxn modelId="{68C42CB9-99F6-E645-869A-6D8757643F28}" type="presOf" srcId="{0ACE2994-7AF2-4842-BE6C-D97AFE45E5E8}" destId="{1C0D2A78-8EE6-CB49-8A46-F5851E32237B}" srcOrd="1" destOrd="0" presId="urn:microsoft.com/office/officeart/2005/8/layout/cycle2"/>
    <dgm:cxn modelId="{A27EFBBD-C201-6B46-9EAF-14FE183C153D}" type="presOf" srcId="{50A8A2A2-A313-B34A-B3AE-DD9E5D1AEBD8}" destId="{9F7A9917-2581-0E4D-B25C-F3D1FF426424}" srcOrd="1" destOrd="0" presId="urn:microsoft.com/office/officeart/2005/8/layout/cycle2"/>
    <dgm:cxn modelId="{892EEBCD-EE57-BA44-B207-3B55CD5CDE56}" type="presOf" srcId="{B3BAD0C0-B65F-2F4E-8F61-B53EE1F17E09}" destId="{3FBC4BBF-353D-3D42-9280-358CF0032540}" srcOrd="0" destOrd="0" presId="urn:microsoft.com/office/officeart/2005/8/layout/cycle2"/>
    <dgm:cxn modelId="{1B6C91DB-532B-CF42-9625-B2743243301A}" type="presOf" srcId="{EF32D235-7395-704B-9A2D-43555AF1FDF2}" destId="{D03AAA64-8711-5A41-B09E-F03D61FFF27A}" srcOrd="0" destOrd="0" presId="urn:microsoft.com/office/officeart/2005/8/layout/cycle2"/>
    <dgm:cxn modelId="{08A0E7EC-8995-C64D-A571-08E51559D5D7}" type="presOf" srcId="{2487F869-F1C2-364E-9F68-80987D2E7FFA}" destId="{A149D72B-FF8A-7049-8CEF-6882D47954B9}" srcOrd="0" destOrd="0" presId="urn:microsoft.com/office/officeart/2005/8/layout/cycle2"/>
    <dgm:cxn modelId="{A3AD43F6-35BC-914D-A94A-8D8F50E53AC5}" type="presOf" srcId="{EB1B6135-164F-654D-8E59-F92975491EF3}" destId="{B92A1B38-407F-0343-B182-9947DE430385}" srcOrd="0" destOrd="0" presId="urn:microsoft.com/office/officeart/2005/8/layout/cycle2"/>
    <dgm:cxn modelId="{2591BFF9-8F66-5B42-B008-84C898EB8C47}" type="presOf" srcId="{46909CA8-FE4F-8C4C-92F3-DD9D5316D5BA}" destId="{46ABD8F1-A585-E64D-B5DB-0C845871325F}" srcOrd="0" destOrd="0" presId="urn:microsoft.com/office/officeart/2005/8/layout/cycle2"/>
    <dgm:cxn modelId="{2D7272D0-BB75-ED49-ACC4-6744489674D6}" type="presParOf" srcId="{AC65E384-858C-4B43-92D4-D72EB3F804FC}" destId="{D03AAA64-8711-5A41-B09E-F03D61FFF27A}" srcOrd="0" destOrd="0" presId="urn:microsoft.com/office/officeart/2005/8/layout/cycle2"/>
    <dgm:cxn modelId="{4ADD8417-6C6A-F347-8AEB-BBE83969BA01}" type="presParOf" srcId="{AC65E384-858C-4B43-92D4-D72EB3F804FC}" destId="{B92A1B38-407F-0343-B182-9947DE430385}" srcOrd="1" destOrd="0" presId="urn:microsoft.com/office/officeart/2005/8/layout/cycle2"/>
    <dgm:cxn modelId="{0BBFEFF9-391D-C044-B921-CACD4937A164}" type="presParOf" srcId="{B92A1B38-407F-0343-B182-9947DE430385}" destId="{CB589D07-C2A0-5F4F-B38E-17C4BDF0C021}" srcOrd="0" destOrd="0" presId="urn:microsoft.com/office/officeart/2005/8/layout/cycle2"/>
    <dgm:cxn modelId="{2CDE1232-46E4-C549-9186-3D798D1D86AA}" type="presParOf" srcId="{AC65E384-858C-4B43-92D4-D72EB3F804FC}" destId="{A149D72B-FF8A-7049-8CEF-6882D47954B9}" srcOrd="2" destOrd="0" presId="urn:microsoft.com/office/officeart/2005/8/layout/cycle2"/>
    <dgm:cxn modelId="{5AAA6F96-EDCF-D64E-BE3D-EC4F23B05361}" type="presParOf" srcId="{AC65E384-858C-4B43-92D4-D72EB3F804FC}" destId="{3FBC4BBF-353D-3D42-9280-358CF0032540}" srcOrd="3" destOrd="0" presId="urn:microsoft.com/office/officeart/2005/8/layout/cycle2"/>
    <dgm:cxn modelId="{19D081F1-818F-B846-8410-D89D14930070}" type="presParOf" srcId="{3FBC4BBF-353D-3D42-9280-358CF0032540}" destId="{61787AED-0368-874D-B44A-36BEEDB3DCB4}" srcOrd="0" destOrd="0" presId="urn:microsoft.com/office/officeart/2005/8/layout/cycle2"/>
    <dgm:cxn modelId="{C2CB3BB0-1888-C145-8947-F88942DD8A7B}" type="presParOf" srcId="{AC65E384-858C-4B43-92D4-D72EB3F804FC}" destId="{624D0600-D960-5740-9B71-30E646693F5A}" srcOrd="4" destOrd="0" presId="urn:microsoft.com/office/officeart/2005/8/layout/cycle2"/>
    <dgm:cxn modelId="{EB1D5F89-2809-8847-9DDB-C0EC5CB0DC24}" type="presParOf" srcId="{AC65E384-858C-4B43-92D4-D72EB3F804FC}" destId="{07E25CD0-DD9F-684C-B7E1-A27DE4B88CEA}" srcOrd="5" destOrd="0" presId="urn:microsoft.com/office/officeart/2005/8/layout/cycle2"/>
    <dgm:cxn modelId="{E3CCD034-D235-E440-B22F-33B292A061E3}" type="presParOf" srcId="{07E25CD0-DD9F-684C-B7E1-A27DE4B88CEA}" destId="{9F7A9917-2581-0E4D-B25C-F3D1FF426424}" srcOrd="0" destOrd="0" presId="urn:microsoft.com/office/officeart/2005/8/layout/cycle2"/>
    <dgm:cxn modelId="{24F0AED8-E90F-434C-8AA7-CAA8D124FE80}" type="presParOf" srcId="{AC65E384-858C-4B43-92D4-D72EB3F804FC}" destId="{09D971E1-BC8D-8145-BEBB-882A69FF1C5E}" srcOrd="6" destOrd="0" presId="urn:microsoft.com/office/officeart/2005/8/layout/cycle2"/>
    <dgm:cxn modelId="{3D57A8D7-4FD2-074C-8A82-744D46A9BA38}" type="presParOf" srcId="{AC65E384-858C-4B43-92D4-D72EB3F804FC}" destId="{7333DFCC-A5CD-1C47-B532-FC78C057A3EF}" srcOrd="7" destOrd="0" presId="urn:microsoft.com/office/officeart/2005/8/layout/cycle2"/>
    <dgm:cxn modelId="{AD4ED255-FEE1-2348-A9DF-B7D484674554}" type="presParOf" srcId="{7333DFCC-A5CD-1C47-B532-FC78C057A3EF}" destId="{43064249-BBDD-F645-B6E2-C6A326AE6E7B}" srcOrd="0" destOrd="0" presId="urn:microsoft.com/office/officeart/2005/8/layout/cycle2"/>
    <dgm:cxn modelId="{76D915AC-8EBC-F94D-ACC3-C8FEADEDFB82}" type="presParOf" srcId="{AC65E384-858C-4B43-92D4-D72EB3F804FC}" destId="{46ABD8F1-A585-E64D-B5DB-0C845871325F}" srcOrd="8" destOrd="0" presId="urn:microsoft.com/office/officeart/2005/8/layout/cycle2"/>
    <dgm:cxn modelId="{08EB30B5-7DAB-4C4E-8771-46206484B559}" type="presParOf" srcId="{AC65E384-858C-4B43-92D4-D72EB3F804FC}" destId="{9AF33125-EDA2-D446-BDC2-3353B22CCCCA}" srcOrd="9" destOrd="0" presId="urn:microsoft.com/office/officeart/2005/8/layout/cycle2"/>
    <dgm:cxn modelId="{68A2E6BD-7626-E34C-89F6-2D8AFEA91800}" type="presParOf" srcId="{9AF33125-EDA2-D446-BDC2-3353B22CCCCA}" destId="{1C0D2A78-8EE6-CB49-8A46-F5851E32237B}" srcOrd="0" destOrd="0" presId="urn:microsoft.com/office/officeart/2005/8/layout/cycle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4727575" cy="2781935"/>
        <a:chOff x="0" y="0"/>
        <a:chExt cx="4727575" cy="2781935"/>
      </a:xfrm>
    </dsp:grpSpPr>
    <dsp:sp modelId="{D03AAA64-8711-5A41-B09E-F03D61FFF27A}">
      <dsp:nvSpPr>
        <dsp:cNvPr id="3" name="椭圆 2"/>
        <dsp:cNvSpPr/>
      </dsp:nvSpPr>
      <dsp:spPr bwMode="white">
        <a:xfrm>
          <a:off x="1943335" y="0"/>
          <a:ext cx="840905" cy="840905"/>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sp:spPr>
      <dsp:style>
        <a:lnRef idx="0">
          <a:schemeClr val="lt1"/>
        </a:lnRef>
        <a:fillRef idx="3">
          <a:schemeClr val="accent1"/>
        </a:fillRef>
        <a:effectRef idx="2">
          <a:scrgbClr r="0" g="0" b="0"/>
        </a:effectRef>
        <a:fontRef idx="minor">
          <a:schemeClr val="lt1"/>
        </a:fontRef>
      </dsp:style>
      <dsp:txBody>
        <a:bodyPr lIns="13970" tIns="13970" rIns="13970" bIns="13970" anchor="ctr"/>
        <a:lstStyle>
          <a:lvl1pPr algn="ctr">
            <a:defRPr sz="1100"/>
          </a:lvl1pPr>
          <a:lvl2pPr marL="57150" indent="-57150" algn="ctr">
            <a:defRPr sz="800"/>
          </a:lvl2pPr>
          <a:lvl3pPr marL="114300" indent="-57150" algn="ctr">
            <a:defRPr sz="800"/>
          </a:lvl3pPr>
          <a:lvl4pPr marL="171450" indent="-57150" algn="ctr">
            <a:defRPr sz="800"/>
          </a:lvl4pPr>
          <a:lvl5pPr marL="228600" indent="-57150" algn="ctr">
            <a:defRPr sz="800"/>
          </a:lvl5pPr>
          <a:lvl6pPr marL="285750" indent="-57150" algn="ctr">
            <a:defRPr sz="800"/>
          </a:lvl6pPr>
          <a:lvl7pPr marL="342900" indent="-57150" algn="ctr">
            <a:defRPr sz="800"/>
          </a:lvl7pPr>
          <a:lvl8pPr marL="400050" indent="-57150" algn="ctr">
            <a:defRPr sz="800"/>
          </a:lvl8pPr>
          <a:lvl9pPr marL="457200" indent="-57150" algn="ctr">
            <a:defRPr sz="800"/>
          </a:lvl9pPr>
        </a:lstStyle>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环境支持</a:t>
          </a:r>
          <a:endParaRPr lang="en-US" altLang="zh-CN">
            <a:solidFill>
              <a:sysClr val="window" lastClr="FFFFFF"/>
            </a:solidFill>
            <a:latin typeface="Calibri" panose="020F0502020204030204"/>
            <a:ea typeface="宋体" panose="02010600030101010101" charset="-122"/>
            <a:cs typeface="+mn-cs"/>
          </a:endParaRPr>
        </a:p>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动态呈现</a:t>
          </a:r>
        </a:p>
      </dsp:txBody>
      <dsp:txXfrm>
        <a:off x="1943335" y="0"/>
        <a:ext cx="840905" cy="840905"/>
      </dsp:txXfrm>
    </dsp:sp>
    <dsp:sp modelId="{B92A1B38-407F-0343-B182-9947DE430385}">
      <dsp:nvSpPr>
        <dsp:cNvPr id="4" name="右箭头 3"/>
        <dsp:cNvSpPr/>
      </dsp:nvSpPr>
      <dsp:spPr bwMode="white">
        <a:xfrm rot="2114417">
          <a:off x="2764064" y="635606"/>
          <a:ext cx="210256" cy="28380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sp:spPr>
      <dsp:style>
        <a:lnRef idx="0">
          <a:schemeClr val="accent1">
            <a:tint val="60000"/>
          </a:schemeClr>
        </a:lnRef>
        <a:fillRef idx="3">
          <a:schemeClr val="accent1">
            <a:tint val="60000"/>
          </a:schemeClr>
        </a:fillRef>
        <a:effectRef idx="2">
          <a:scrgbClr r="0" g="0" b="0"/>
        </a:effectRef>
        <a:fontRef idx="minor">
          <a:schemeClr val="lt1"/>
        </a:fontRef>
      </dsp:style>
      <dsp:txBody>
        <a:bodyPr lIns="0" tIns="0" rIns="0" bIns="0" anchor="ctr"/>
        <a:lstStyle>
          <a:lvl1pPr algn="ctr">
            <a:defRPr sz="1100"/>
          </a:lvl1pPr>
          <a:lvl2pPr marL="57150" indent="-57150" algn="ctr">
            <a:defRPr sz="900"/>
          </a:lvl2pPr>
          <a:lvl3pPr marL="114300" indent="-57150" algn="ctr">
            <a:defRPr sz="900"/>
          </a:lvl3pPr>
          <a:lvl4pPr marL="171450" indent="-57150" algn="ctr">
            <a:defRPr sz="900"/>
          </a:lvl4pPr>
          <a:lvl5pPr marL="228600" indent="-57150" algn="ctr">
            <a:defRPr sz="900"/>
          </a:lvl5pPr>
          <a:lvl6pPr marL="285750" indent="-57150" algn="ctr">
            <a:defRPr sz="900"/>
          </a:lvl6pPr>
          <a:lvl7pPr marL="342900" indent="-57150" algn="ctr">
            <a:defRPr sz="900"/>
          </a:lvl7pPr>
          <a:lvl8pPr marL="400050" indent="-57150" algn="ctr">
            <a:defRPr sz="900"/>
          </a:lvl8pPr>
          <a:lvl9pPr marL="457200" indent="-57150" algn="ctr">
            <a:defRPr sz="900"/>
          </a:lvl9pPr>
        </a:lstStyle>
        <a:p>
          <a:pPr lvl="0">
            <a:lnSpc>
              <a:spcPct val="100000"/>
            </a:lnSpc>
            <a:spcBef>
              <a:spcPct val="0"/>
            </a:spcBef>
            <a:spcAft>
              <a:spcPct val="35000"/>
            </a:spcAft>
            <a:buNone/>
          </a:pPr>
          <a:endParaRPr lang="zh-CN" altLang="en-US">
            <a:solidFill>
              <a:sysClr val="window" lastClr="FFFFFF"/>
            </a:solidFill>
            <a:latin typeface="Calibri" panose="020F0502020204030204"/>
            <a:ea typeface="宋体" panose="02010600030101010101" charset="-122"/>
            <a:cs typeface="+mn-cs"/>
          </a:endParaRPr>
        </a:p>
      </dsp:txBody>
      <dsp:txXfrm rot="2114417">
        <a:off x="2764064" y="635606"/>
        <a:ext cx="210256" cy="283805"/>
      </dsp:txXfrm>
    </dsp:sp>
    <dsp:sp modelId="{A149D72B-FF8A-7049-8CEF-6882D47954B9}">
      <dsp:nvSpPr>
        <dsp:cNvPr id="5" name="椭圆 4"/>
        <dsp:cNvSpPr/>
      </dsp:nvSpPr>
      <dsp:spPr bwMode="white">
        <a:xfrm>
          <a:off x="2954143" y="714112"/>
          <a:ext cx="840905" cy="840905"/>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sp:spPr>
      <dsp:style>
        <a:lnRef idx="0">
          <a:schemeClr val="lt1"/>
        </a:lnRef>
        <a:fillRef idx="3">
          <a:schemeClr val="accent1"/>
        </a:fillRef>
        <a:effectRef idx="2">
          <a:scrgbClr r="0" g="0" b="0"/>
        </a:effectRef>
        <a:fontRef idx="minor">
          <a:schemeClr val="lt1"/>
        </a:fontRef>
      </dsp:style>
      <dsp:txBody>
        <a:bodyPr lIns="13970" tIns="13970" rIns="13970" bIns="13970" anchor="ctr"/>
        <a:lstStyle>
          <a:lvl1pPr algn="ctr">
            <a:defRPr sz="1100"/>
          </a:lvl1pPr>
          <a:lvl2pPr marL="57150" indent="-57150" algn="ctr">
            <a:defRPr sz="800"/>
          </a:lvl2pPr>
          <a:lvl3pPr marL="114300" indent="-57150" algn="ctr">
            <a:defRPr sz="800"/>
          </a:lvl3pPr>
          <a:lvl4pPr marL="171450" indent="-57150" algn="ctr">
            <a:defRPr sz="800"/>
          </a:lvl4pPr>
          <a:lvl5pPr marL="228600" indent="-57150" algn="ctr">
            <a:defRPr sz="800"/>
          </a:lvl5pPr>
          <a:lvl6pPr marL="285750" indent="-57150" algn="ctr">
            <a:defRPr sz="800"/>
          </a:lvl6pPr>
          <a:lvl7pPr marL="342900" indent="-57150" algn="ctr">
            <a:defRPr sz="800"/>
          </a:lvl7pPr>
          <a:lvl8pPr marL="400050" indent="-57150" algn="ctr">
            <a:defRPr sz="800"/>
          </a:lvl8pPr>
          <a:lvl9pPr marL="457200" indent="-57150" algn="ctr">
            <a:defRPr sz="800"/>
          </a:lvl9pPr>
        </a:lstStyle>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问题驱动</a:t>
          </a:r>
          <a:endParaRPr lang="en-US" altLang="zh-CN">
            <a:solidFill>
              <a:sysClr val="window" lastClr="FFFFFF"/>
            </a:solidFill>
            <a:latin typeface="Calibri" panose="020F0502020204030204"/>
            <a:ea typeface="宋体" panose="02010600030101010101" charset="-122"/>
            <a:cs typeface="+mn-cs"/>
          </a:endParaRPr>
        </a:p>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引发探究</a:t>
          </a:r>
        </a:p>
      </dsp:txBody>
      <dsp:txXfrm>
        <a:off x="2954143" y="714112"/>
        <a:ext cx="840905" cy="840905"/>
      </dsp:txXfrm>
    </dsp:sp>
    <dsp:sp modelId="{3FBC4BBF-353D-3D42-9280-358CF0032540}">
      <dsp:nvSpPr>
        <dsp:cNvPr id="6" name="右箭头 5"/>
        <dsp:cNvSpPr/>
      </dsp:nvSpPr>
      <dsp:spPr bwMode="white">
        <a:xfrm rot="6432854">
          <a:off x="3066990" y="1606121"/>
          <a:ext cx="235082" cy="28380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sp:spPr>
      <dsp:style>
        <a:lnRef idx="0">
          <a:schemeClr val="accent1">
            <a:tint val="60000"/>
          </a:schemeClr>
        </a:lnRef>
        <a:fillRef idx="3">
          <a:schemeClr val="accent1">
            <a:tint val="60000"/>
          </a:schemeClr>
        </a:fillRef>
        <a:effectRef idx="2">
          <a:scrgbClr r="0" g="0" b="0"/>
        </a:effectRef>
        <a:fontRef idx="minor">
          <a:schemeClr val="lt1"/>
        </a:fontRef>
      </dsp:style>
      <dsp:txBody>
        <a:bodyPr rot="10800000" lIns="0" tIns="0" rIns="0" bIns="0" anchor="ctr"/>
        <a:lstStyle>
          <a:lvl1pPr algn="ctr">
            <a:defRPr sz="1100"/>
          </a:lvl1pPr>
          <a:lvl2pPr marL="57150" indent="-57150" algn="ctr">
            <a:defRPr sz="900"/>
          </a:lvl2pPr>
          <a:lvl3pPr marL="114300" indent="-57150" algn="ctr">
            <a:defRPr sz="900"/>
          </a:lvl3pPr>
          <a:lvl4pPr marL="171450" indent="-57150" algn="ctr">
            <a:defRPr sz="900"/>
          </a:lvl4pPr>
          <a:lvl5pPr marL="228600" indent="-57150" algn="ctr">
            <a:defRPr sz="900"/>
          </a:lvl5pPr>
          <a:lvl6pPr marL="285750" indent="-57150" algn="ctr">
            <a:defRPr sz="900"/>
          </a:lvl6pPr>
          <a:lvl7pPr marL="342900" indent="-57150" algn="ctr">
            <a:defRPr sz="900"/>
          </a:lvl7pPr>
          <a:lvl8pPr marL="400050" indent="-57150" algn="ctr">
            <a:defRPr sz="900"/>
          </a:lvl8pPr>
          <a:lvl9pPr marL="457200" indent="-57150" algn="ctr">
            <a:defRPr sz="900"/>
          </a:lvl9pPr>
        </a:lstStyle>
        <a:p>
          <a:pPr lvl="0">
            <a:lnSpc>
              <a:spcPct val="100000"/>
            </a:lnSpc>
            <a:spcBef>
              <a:spcPct val="0"/>
            </a:spcBef>
            <a:spcAft>
              <a:spcPct val="35000"/>
            </a:spcAft>
            <a:buNone/>
          </a:pPr>
          <a:endParaRPr lang="zh-CN" altLang="en-US">
            <a:solidFill>
              <a:sysClr val="window" lastClr="FFFFFF"/>
            </a:solidFill>
            <a:latin typeface="Calibri" panose="020F0502020204030204"/>
            <a:ea typeface="宋体" panose="02010600030101010101" charset="-122"/>
            <a:cs typeface="+mn-cs"/>
          </a:endParaRPr>
        </a:p>
      </dsp:txBody>
      <dsp:txXfrm rot="6432854">
        <a:off x="3066990" y="1606121"/>
        <a:ext cx="235082" cy="283805"/>
      </dsp:txXfrm>
    </dsp:sp>
    <dsp:sp modelId="{624D0600-D960-5740-9B71-30E646693F5A}">
      <dsp:nvSpPr>
        <dsp:cNvPr id="7" name="椭圆 6"/>
        <dsp:cNvSpPr/>
      </dsp:nvSpPr>
      <dsp:spPr bwMode="white">
        <a:xfrm>
          <a:off x="2574014" y="1941030"/>
          <a:ext cx="840905" cy="840905"/>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sp:spPr>
      <dsp:style>
        <a:lnRef idx="0">
          <a:schemeClr val="lt1"/>
        </a:lnRef>
        <a:fillRef idx="3">
          <a:schemeClr val="accent1"/>
        </a:fillRef>
        <a:effectRef idx="2">
          <a:scrgbClr r="0" g="0" b="0"/>
        </a:effectRef>
        <a:fontRef idx="minor">
          <a:schemeClr val="lt1"/>
        </a:fontRef>
      </dsp:style>
      <dsp:txBody>
        <a:bodyPr lIns="13970" tIns="13970" rIns="13970" bIns="13970" anchor="ctr"/>
        <a:lstStyle>
          <a:lvl1pPr algn="ctr">
            <a:defRPr sz="1100"/>
          </a:lvl1pPr>
          <a:lvl2pPr marL="57150" indent="-57150" algn="ctr">
            <a:defRPr sz="800"/>
          </a:lvl2pPr>
          <a:lvl3pPr marL="114300" indent="-57150" algn="ctr">
            <a:defRPr sz="800"/>
          </a:lvl3pPr>
          <a:lvl4pPr marL="171450" indent="-57150" algn="ctr">
            <a:defRPr sz="800"/>
          </a:lvl4pPr>
          <a:lvl5pPr marL="228600" indent="-57150" algn="ctr">
            <a:defRPr sz="800"/>
          </a:lvl5pPr>
          <a:lvl6pPr marL="285750" indent="-57150" algn="ctr">
            <a:defRPr sz="800"/>
          </a:lvl6pPr>
          <a:lvl7pPr marL="342900" indent="-57150" algn="ctr">
            <a:defRPr sz="800"/>
          </a:lvl7pPr>
          <a:lvl8pPr marL="400050" indent="-57150" algn="ctr">
            <a:defRPr sz="800"/>
          </a:lvl8pPr>
          <a:lvl9pPr marL="457200" indent="-57150" algn="ctr">
            <a:defRPr sz="800"/>
          </a:lvl9pPr>
        </a:lstStyle>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多元支持</a:t>
          </a:r>
          <a:endParaRPr lang="en-US" altLang="zh-CN">
            <a:solidFill>
              <a:sysClr val="window" lastClr="FFFFFF"/>
            </a:solidFill>
            <a:latin typeface="Calibri" panose="020F0502020204030204"/>
            <a:ea typeface="宋体" panose="02010600030101010101" charset="-122"/>
            <a:cs typeface="+mn-cs"/>
          </a:endParaRPr>
        </a:p>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引导实践</a:t>
          </a:r>
        </a:p>
      </dsp:txBody>
      <dsp:txXfrm>
        <a:off x="2574014" y="1941030"/>
        <a:ext cx="840905" cy="840905"/>
      </dsp:txXfrm>
    </dsp:sp>
    <dsp:sp modelId="{07E25CD0-DD9F-684C-B7E1-A27DE4B88CEA}">
      <dsp:nvSpPr>
        <dsp:cNvPr id="8" name="右箭头 7"/>
        <dsp:cNvSpPr/>
      </dsp:nvSpPr>
      <dsp:spPr bwMode="white">
        <a:xfrm rot="10800000">
          <a:off x="2252368" y="2219580"/>
          <a:ext cx="222840" cy="28380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sp:spPr>
      <dsp:style>
        <a:lnRef idx="0">
          <a:schemeClr val="accent1">
            <a:tint val="60000"/>
          </a:schemeClr>
        </a:lnRef>
        <a:fillRef idx="3">
          <a:schemeClr val="accent1">
            <a:tint val="60000"/>
          </a:schemeClr>
        </a:fillRef>
        <a:effectRef idx="2">
          <a:scrgbClr r="0" g="0" b="0"/>
        </a:effectRef>
        <a:fontRef idx="minor">
          <a:schemeClr val="lt1"/>
        </a:fontRef>
      </dsp:style>
      <dsp:txBody>
        <a:bodyPr rot="10800000" lIns="0" tIns="0" rIns="0" bIns="0" anchor="ctr"/>
        <a:lstStyle>
          <a:lvl1pPr algn="ctr">
            <a:defRPr sz="1100"/>
          </a:lvl1pPr>
          <a:lvl2pPr marL="57150" indent="-57150" algn="ctr">
            <a:defRPr sz="900"/>
          </a:lvl2pPr>
          <a:lvl3pPr marL="114300" indent="-57150" algn="ctr">
            <a:defRPr sz="900"/>
          </a:lvl3pPr>
          <a:lvl4pPr marL="171450" indent="-57150" algn="ctr">
            <a:defRPr sz="900"/>
          </a:lvl4pPr>
          <a:lvl5pPr marL="228600" indent="-57150" algn="ctr">
            <a:defRPr sz="900"/>
          </a:lvl5pPr>
          <a:lvl6pPr marL="285750" indent="-57150" algn="ctr">
            <a:defRPr sz="900"/>
          </a:lvl6pPr>
          <a:lvl7pPr marL="342900" indent="-57150" algn="ctr">
            <a:defRPr sz="900"/>
          </a:lvl7pPr>
          <a:lvl8pPr marL="400050" indent="-57150" algn="ctr">
            <a:defRPr sz="900"/>
          </a:lvl8pPr>
          <a:lvl9pPr marL="457200" indent="-57150" algn="ctr">
            <a:defRPr sz="900"/>
          </a:lvl9pPr>
        </a:lstStyle>
        <a:p>
          <a:pPr lvl="0">
            <a:lnSpc>
              <a:spcPct val="100000"/>
            </a:lnSpc>
            <a:spcBef>
              <a:spcPct val="0"/>
            </a:spcBef>
            <a:spcAft>
              <a:spcPct val="35000"/>
            </a:spcAft>
            <a:buNone/>
          </a:pPr>
          <a:endParaRPr lang="zh-CN" altLang="en-US">
            <a:solidFill>
              <a:sysClr val="window" lastClr="FFFFFF"/>
            </a:solidFill>
            <a:latin typeface="Calibri" panose="020F0502020204030204"/>
            <a:ea typeface="宋体" panose="02010600030101010101" charset="-122"/>
            <a:cs typeface="+mn-cs"/>
          </a:endParaRPr>
        </a:p>
      </dsp:txBody>
      <dsp:txXfrm rot="10800000">
        <a:off x="2252368" y="2219580"/>
        <a:ext cx="222840" cy="283805"/>
      </dsp:txXfrm>
    </dsp:sp>
    <dsp:sp modelId="{09D971E1-BC8D-8145-BEBB-882A69FF1C5E}">
      <dsp:nvSpPr>
        <dsp:cNvPr id="9" name="椭圆 8"/>
        <dsp:cNvSpPr/>
      </dsp:nvSpPr>
      <dsp:spPr bwMode="white">
        <a:xfrm>
          <a:off x="1312656" y="1941030"/>
          <a:ext cx="840905" cy="840905"/>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sp:spPr>
      <dsp:style>
        <a:lnRef idx="0">
          <a:schemeClr val="lt1"/>
        </a:lnRef>
        <a:fillRef idx="3">
          <a:schemeClr val="accent1"/>
        </a:fillRef>
        <a:effectRef idx="2">
          <a:scrgbClr r="0" g="0" b="0"/>
        </a:effectRef>
        <a:fontRef idx="minor">
          <a:schemeClr val="lt1"/>
        </a:fontRef>
      </dsp:style>
      <dsp:txBody>
        <a:bodyPr lIns="13970" tIns="13970" rIns="13970" bIns="13970" anchor="ctr"/>
        <a:lstStyle>
          <a:lvl1pPr algn="ctr">
            <a:defRPr sz="1100"/>
          </a:lvl1pPr>
          <a:lvl2pPr marL="57150" indent="-57150" algn="ctr">
            <a:defRPr sz="800"/>
          </a:lvl2pPr>
          <a:lvl3pPr marL="114300" indent="-57150" algn="ctr">
            <a:defRPr sz="800"/>
          </a:lvl3pPr>
          <a:lvl4pPr marL="171450" indent="-57150" algn="ctr">
            <a:defRPr sz="800"/>
          </a:lvl4pPr>
          <a:lvl5pPr marL="228600" indent="-57150" algn="ctr">
            <a:defRPr sz="800"/>
          </a:lvl5pPr>
          <a:lvl6pPr marL="285750" indent="-57150" algn="ctr">
            <a:defRPr sz="800"/>
          </a:lvl6pPr>
          <a:lvl7pPr marL="342900" indent="-57150" algn="ctr">
            <a:defRPr sz="800"/>
          </a:lvl7pPr>
          <a:lvl8pPr marL="400050" indent="-57150" algn="ctr">
            <a:defRPr sz="800"/>
          </a:lvl8pPr>
          <a:lvl9pPr marL="457200" indent="-57150" algn="ctr">
            <a:defRPr sz="800"/>
          </a:lvl9pPr>
        </a:lstStyle>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经验梳理</a:t>
          </a:r>
          <a:endParaRPr lang="en-US" altLang="zh-CN">
            <a:solidFill>
              <a:sysClr val="window" lastClr="FFFFFF"/>
            </a:solidFill>
            <a:latin typeface="Calibri" panose="020F0502020204030204"/>
            <a:ea typeface="宋体" panose="02010600030101010101" charset="-122"/>
            <a:cs typeface="+mn-cs"/>
          </a:endParaRPr>
        </a:p>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解决问题</a:t>
          </a:r>
        </a:p>
      </dsp:txBody>
      <dsp:txXfrm>
        <a:off x="1312656" y="1941030"/>
        <a:ext cx="840905" cy="840905"/>
      </dsp:txXfrm>
    </dsp:sp>
    <dsp:sp modelId="{7333DFCC-A5CD-1C47-B532-FC78C057A3EF}">
      <dsp:nvSpPr>
        <dsp:cNvPr id="10" name="右箭头 9"/>
        <dsp:cNvSpPr/>
      </dsp:nvSpPr>
      <dsp:spPr bwMode="white">
        <a:xfrm rot="15120000">
          <a:off x="1426798" y="1619768"/>
          <a:ext cx="222840" cy="28380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sp:spPr>
      <dsp:style>
        <a:lnRef idx="0">
          <a:schemeClr val="accent1">
            <a:tint val="60000"/>
          </a:schemeClr>
        </a:lnRef>
        <a:fillRef idx="3">
          <a:schemeClr val="accent1">
            <a:tint val="60000"/>
          </a:schemeClr>
        </a:fillRef>
        <a:effectRef idx="2">
          <a:scrgbClr r="0" g="0" b="0"/>
        </a:effectRef>
        <a:fontRef idx="minor">
          <a:schemeClr val="lt1"/>
        </a:fontRef>
      </dsp:style>
      <dsp:txBody>
        <a:bodyPr rot="10800000" lIns="0" tIns="0" rIns="0" bIns="0" anchor="ctr"/>
        <a:lstStyle>
          <a:lvl1pPr algn="ctr">
            <a:defRPr sz="1100"/>
          </a:lvl1pPr>
          <a:lvl2pPr marL="57150" indent="-57150" algn="ctr">
            <a:defRPr sz="900"/>
          </a:lvl2pPr>
          <a:lvl3pPr marL="114300" indent="-57150" algn="ctr">
            <a:defRPr sz="900"/>
          </a:lvl3pPr>
          <a:lvl4pPr marL="171450" indent="-57150" algn="ctr">
            <a:defRPr sz="900"/>
          </a:lvl4pPr>
          <a:lvl5pPr marL="228600" indent="-57150" algn="ctr">
            <a:defRPr sz="900"/>
          </a:lvl5pPr>
          <a:lvl6pPr marL="285750" indent="-57150" algn="ctr">
            <a:defRPr sz="900"/>
          </a:lvl6pPr>
          <a:lvl7pPr marL="342900" indent="-57150" algn="ctr">
            <a:defRPr sz="900"/>
          </a:lvl7pPr>
          <a:lvl8pPr marL="400050" indent="-57150" algn="ctr">
            <a:defRPr sz="900"/>
          </a:lvl8pPr>
          <a:lvl9pPr marL="457200" indent="-57150" algn="ctr">
            <a:defRPr sz="900"/>
          </a:lvl9pPr>
        </a:lstStyle>
        <a:p>
          <a:pPr lvl="0">
            <a:lnSpc>
              <a:spcPct val="100000"/>
            </a:lnSpc>
            <a:spcBef>
              <a:spcPct val="0"/>
            </a:spcBef>
            <a:spcAft>
              <a:spcPct val="35000"/>
            </a:spcAft>
            <a:buNone/>
          </a:pPr>
          <a:endParaRPr lang="zh-CN" altLang="en-US">
            <a:solidFill>
              <a:sysClr val="window" lastClr="FFFFFF"/>
            </a:solidFill>
            <a:latin typeface="Calibri" panose="020F0502020204030204"/>
            <a:ea typeface="宋体" panose="02010600030101010101" charset="-122"/>
            <a:cs typeface="+mn-cs"/>
          </a:endParaRPr>
        </a:p>
      </dsp:txBody>
      <dsp:txXfrm rot="15120000">
        <a:off x="1426798" y="1619768"/>
        <a:ext cx="222840" cy="283805"/>
      </dsp:txXfrm>
    </dsp:sp>
    <dsp:sp modelId="{46ABD8F1-A585-E64D-B5DB-0C845871325F}">
      <dsp:nvSpPr>
        <dsp:cNvPr id="11" name="椭圆 10"/>
        <dsp:cNvSpPr/>
      </dsp:nvSpPr>
      <dsp:spPr bwMode="white">
        <a:xfrm>
          <a:off x="922875" y="741407"/>
          <a:ext cx="840905" cy="840905"/>
        </a:xfrm>
        <a:prstGeom prst="ellipse">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dsp:spPr>
      <dsp:style>
        <a:lnRef idx="0">
          <a:schemeClr val="lt1"/>
        </a:lnRef>
        <a:fillRef idx="3">
          <a:schemeClr val="accent1"/>
        </a:fillRef>
        <a:effectRef idx="2">
          <a:scrgbClr r="0" g="0" b="0"/>
        </a:effectRef>
        <a:fontRef idx="minor">
          <a:schemeClr val="lt1"/>
        </a:fontRef>
      </dsp:style>
      <dsp:txBody>
        <a:bodyPr lIns="13970" tIns="13970" rIns="13970" bIns="13970" anchor="ctr"/>
        <a:lstStyle>
          <a:lvl1pPr algn="ctr">
            <a:defRPr sz="1100"/>
          </a:lvl1pPr>
          <a:lvl2pPr marL="57150" indent="-57150" algn="ctr">
            <a:defRPr sz="800"/>
          </a:lvl2pPr>
          <a:lvl3pPr marL="114300" indent="-57150" algn="ctr">
            <a:defRPr sz="800"/>
          </a:lvl3pPr>
          <a:lvl4pPr marL="171450" indent="-57150" algn="ctr">
            <a:defRPr sz="800"/>
          </a:lvl4pPr>
          <a:lvl5pPr marL="228600" indent="-57150" algn="ctr">
            <a:defRPr sz="800"/>
          </a:lvl5pPr>
          <a:lvl6pPr marL="285750" indent="-57150" algn="ctr">
            <a:defRPr sz="800"/>
          </a:lvl6pPr>
          <a:lvl7pPr marL="342900" indent="-57150" algn="ctr">
            <a:defRPr sz="800"/>
          </a:lvl7pPr>
          <a:lvl8pPr marL="400050" indent="-57150" algn="ctr">
            <a:defRPr sz="800"/>
          </a:lvl8pPr>
          <a:lvl9pPr marL="457200" indent="-57150" algn="ctr">
            <a:defRPr sz="800"/>
          </a:lvl9pPr>
        </a:lstStyle>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成果分享</a:t>
          </a:r>
          <a:endParaRPr lang="en-US" altLang="zh-CN">
            <a:solidFill>
              <a:sysClr val="window" lastClr="FFFFFF"/>
            </a:solidFill>
            <a:latin typeface="Calibri" panose="020F0502020204030204"/>
            <a:ea typeface="宋体" panose="02010600030101010101" charset="-122"/>
            <a:cs typeface="+mn-cs"/>
          </a:endParaRPr>
        </a:p>
        <a:p>
          <a:pPr lvl="0">
            <a:lnSpc>
              <a:spcPct val="100000"/>
            </a:lnSpc>
            <a:spcBef>
              <a:spcPct val="0"/>
            </a:spcBef>
            <a:spcAft>
              <a:spcPct val="35000"/>
            </a:spcAft>
            <a:buNone/>
          </a:pPr>
          <a:r>
            <a:rPr lang="zh-CN" altLang="en-US">
              <a:solidFill>
                <a:sysClr val="window" lastClr="FFFFFF"/>
              </a:solidFill>
              <a:latin typeface="Calibri" panose="020F0502020204030204"/>
              <a:ea typeface="宋体" panose="02010600030101010101" charset="-122"/>
              <a:cs typeface="+mn-cs"/>
            </a:rPr>
            <a:t>注重过程</a:t>
          </a:r>
        </a:p>
      </dsp:txBody>
      <dsp:txXfrm>
        <a:off x="922875" y="741407"/>
        <a:ext cx="840905" cy="840905"/>
      </dsp:txXfrm>
    </dsp:sp>
    <dsp:sp modelId="{9AF33125-EDA2-D446-BDC2-3353B22CCCCA}">
      <dsp:nvSpPr>
        <dsp:cNvPr id="12" name="右箭头 11"/>
        <dsp:cNvSpPr/>
      </dsp:nvSpPr>
      <dsp:spPr bwMode="white">
        <a:xfrm rot="-2159999">
          <a:off x="1742138" y="649254"/>
          <a:ext cx="222840" cy="283805"/>
        </a:xfrm>
        <a:prstGeom prst="rightArrow">
          <a:avLst>
            <a:gd name="adj1" fmla="val 60000"/>
            <a:gd name="adj2" fmla="val 50000"/>
          </a:avLst>
        </a:prstGeom>
        <a:gradFill rotWithShape="0">
          <a:gsLst>
            <a:gs pos="0">
              <a:srgbClr val="5B9BD5">
                <a:tint val="60000"/>
                <a:hueOff val="0"/>
                <a:satOff val="0"/>
                <a:lumOff val="0"/>
                <a:alphaOff val="0"/>
                <a:satMod val="103000"/>
                <a:lumMod val="102000"/>
                <a:tint val="94000"/>
              </a:srgbClr>
            </a:gs>
            <a:gs pos="50000">
              <a:srgbClr val="5B9BD5">
                <a:tint val="60000"/>
                <a:hueOff val="0"/>
                <a:satOff val="0"/>
                <a:lumOff val="0"/>
                <a:alphaOff val="0"/>
                <a:satMod val="110000"/>
                <a:lumMod val="100000"/>
                <a:shade val="100000"/>
              </a:srgbClr>
            </a:gs>
            <a:gs pos="100000">
              <a:srgbClr val="5B9BD5">
                <a:tint val="60000"/>
                <a:hueOff val="0"/>
                <a:satOff val="0"/>
                <a:lumOff val="0"/>
                <a:alphaOff val="0"/>
                <a:lumMod val="99000"/>
                <a:satMod val="120000"/>
                <a:shade val="78000"/>
              </a:srgbClr>
            </a:gs>
          </a:gsLst>
          <a:lin ang="5400000" scaled="0"/>
        </a:gradFill>
        <a:ln>
          <a:noFill/>
        </a:ln>
        <a:effectLst/>
      </dsp:spPr>
      <dsp:style>
        <a:lnRef idx="0">
          <a:schemeClr val="accent1">
            <a:tint val="60000"/>
          </a:schemeClr>
        </a:lnRef>
        <a:fillRef idx="3">
          <a:schemeClr val="accent1">
            <a:tint val="60000"/>
          </a:schemeClr>
        </a:fillRef>
        <a:effectRef idx="2">
          <a:scrgbClr r="0" g="0" b="0"/>
        </a:effectRef>
        <a:fontRef idx="minor">
          <a:schemeClr val="lt1"/>
        </a:fontRef>
      </dsp:style>
      <dsp:txBody>
        <a:bodyPr lIns="0" tIns="0" rIns="0" bIns="0" anchor="ctr"/>
        <a:lstStyle>
          <a:lvl1pPr algn="ctr">
            <a:defRPr sz="1100"/>
          </a:lvl1pPr>
          <a:lvl2pPr marL="57150" indent="-57150" algn="ctr">
            <a:defRPr sz="900"/>
          </a:lvl2pPr>
          <a:lvl3pPr marL="114300" indent="-57150" algn="ctr">
            <a:defRPr sz="900"/>
          </a:lvl3pPr>
          <a:lvl4pPr marL="171450" indent="-57150" algn="ctr">
            <a:defRPr sz="900"/>
          </a:lvl4pPr>
          <a:lvl5pPr marL="228600" indent="-57150" algn="ctr">
            <a:defRPr sz="900"/>
          </a:lvl5pPr>
          <a:lvl6pPr marL="285750" indent="-57150" algn="ctr">
            <a:defRPr sz="900"/>
          </a:lvl6pPr>
          <a:lvl7pPr marL="342900" indent="-57150" algn="ctr">
            <a:defRPr sz="900"/>
          </a:lvl7pPr>
          <a:lvl8pPr marL="400050" indent="-57150" algn="ctr">
            <a:defRPr sz="900"/>
          </a:lvl8pPr>
          <a:lvl9pPr marL="457200" indent="-57150" algn="ctr">
            <a:defRPr sz="900"/>
          </a:lvl9pPr>
        </a:lstStyle>
        <a:p>
          <a:pPr lvl="0">
            <a:lnSpc>
              <a:spcPct val="100000"/>
            </a:lnSpc>
            <a:spcBef>
              <a:spcPct val="0"/>
            </a:spcBef>
            <a:spcAft>
              <a:spcPct val="35000"/>
            </a:spcAft>
            <a:buNone/>
          </a:pPr>
          <a:endParaRPr lang="zh-CN" altLang="en-US">
            <a:solidFill>
              <a:sysClr val="window" lastClr="FFFFFF"/>
            </a:solidFill>
            <a:latin typeface="Calibri" panose="020F0502020204030204"/>
            <a:ea typeface="宋体" panose="02010600030101010101" charset="-122"/>
            <a:cs typeface="+mn-cs"/>
          </a:endParaRPr>
        </a:p>
      </dsp:txBody>
      <dsp:txXfrm rot="-2159999">
        <a:off x="1742138" y="649254"/>
        <a:ext cx="222840" cy="283805"/>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1">
  <dgm:title val=""/>
  <dgm:desc val=""/>
  <dgm:catLst>
    <dgm:cat type="simple" pri="104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7070</Words>
  <Characters>7261</Characters>
  <Lines>0</Lines>
  <Paragraphs>0</Paragraphs>
  <TotalTime>1</TotalTime>
  <ScaleCrop>false</ScaleCrop>
  <LinksUpToDate>false</LinksUpToDate>
  <CharactersWithSpaces>7275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2023-04-14T12:55:00Z</dcterms:created>
  <dc:creator>wangminming</dc:creator>
  <cp:lastModifiedBy>慧</cp:lastModifiedBy>
  <cp:lastPrinted>2023-04-19T00:26:00Z</cp:lastPrinted>
  <dcterms:modified xsi:type="dcterms:W3CDTF">2023-04-19T05:28:16Z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A674B00E01EE4A9F81E7DF2089B1F66A_13</vt:lpwstr>
  </property>
</Properties>
</file>