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优质食味粳稻绿色栽培技术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eastAsia="zh-CN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</w:pP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绿色栽培技术以增施有机肥、减少氮化肥使用，尽可能减少化学农药使用，以保持和优化农业生态系统为基础，优先采用农业措施，尽量利用物理和生物措施，必要时合理使用低风险农药控制病虫草为害，从而达到提升稻米米质和水稻绿色生态发展的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技术示范推广情况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</w:pP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品种由于直链淀粉含量低（10%左右），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米质介于一般糯米与黏米之间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，具有软而不烂、甜润爽口、膨化性好、富有弹性、冷后不易变硬、回生程度小等优点，有较好的蒸煮食用品质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。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近年来，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我区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越来越重视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品种的引种选育和示范推广，主要国庆稻品种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有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“沪早粳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19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3”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及“美谷1号”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；常规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优质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稻品种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有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“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美谷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2号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”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和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“沪软1212”等。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品种的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种植面积由2017年的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3583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亩，逐步发展到202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5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年的</w:t>
      </w:r>
      <w:r>
        <w:rPr>
          <w:rFonts w:hint="default" w:ascii="仿宋_GB2312" w:hAnsi="Times New Roman" w:eastAsia="仿宋_GB2312" w:cstheme="minorBidi"/>
          <w:color w:val="auto"/>
          <w:kern w:val="2"/>
          <w:sz w:val="30"/>
          <w:szCs w:val="30"/>
          <w:lang w:val="en-US"/>
        </w:rPr>
        <w:t>6.1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4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万亩，占全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区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水稻种植面积</w:t>
      </w:r>
      <w:r>
        <w:rPr>
          <w:rFonts w:hint="default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3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3.9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%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</w:pP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绿色高效栽培技术在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我区的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推广应用有利于产业化生产，为品牌创建提供技术支持，促进整个水稻产业的高质量发展。因此，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应用和推广适合市郊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品种的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绿色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栽培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技术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模式已成为发展优质食味稻米生产、促进粮食生产转型升级的迫切需求。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 w:firstLineChars="200"/>
        <w:jc w:val="both"/>
        <w:textAlignment w:val="auto"/>
        <w:rPr>
          <w:rFonts w:ascii="Times New Roman" w:hAnsi="Times New Roman" w:eastAsia="黑体"/>
          <w:color w:val="auto"/>
          <w:sz w:val="30"/>
          <w:szCs w:val="30"/>
        </w:rPr>
      </w:pPr>
      <w:r>
        <w:rPr>
          <w:rFonts w:hint="eastAsia" w:ascii="Times New Roman" w:hAnsi="Times New Roman" w:eastAsia="黑体"/>
          <w:color w:val="auto"/>
          <w:sz w:val="30"/>
          <w:szCs w:val="30"/>
          <w:lang w:eastAsia="zh-CN"/>
        </w:rPr>
        <w:t>二</w:t>
      </w:r>
      <w:r>
        <w:rPr>
          <w:rFonts w:hint="eastAsia" w:ascii="Times New Roman" w:hAnsi="Times New Roman" w:eastAsia="黑体"/>
          <w:color w:val="auto"/>
          <w:sz w:val="30"/>
          <w:szCs w:val="30"/>
        </w:rPr>
        <w:t>、技术要点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</w:pP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绿色栽培技术是基于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我区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现有的机械育插秧、机械穴直播等现代种植方式条件下，以全程减少化肥和农药施用为核心，集成与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优质食味粳稻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产业化生产相匹配的绿色生态高效的栽培技术模式，在全区开展集成示范和推广。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 w:firstLineChars="200"/>
        <w:jc w:val="both"/>
        <w:textAlignment w:val="auto"/>
        <w:rPr>
          <w:rFonts w:ascii="Times New Roman" w:hAnsi="Times New Roman" w:eastAsia="楷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（一）核心技术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hint="default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一是绿色生态栽培。对绿肥茬田块进行高产栽培还田，要求绿肥鲜草产量每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667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m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vertAlign w:val="superscript"/>
        </w:rPr>
        <w:t>2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达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1000 kg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1500 kg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，减少化学肥料的施用，增施有机肥（商品有机肥、农家肥料、微生物肥料等）。肥料的使用要求在保障植物营养有效供给的基础上减少化肥用量，并兼顾元素的比例平衡，无机氮素用量不得高于当季作物需求量的一半。全生育期总用氮量，有机氮（折纯量）每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667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 xml:space="preserve"> m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vertAlign w:val="superscript"/>
        </w:rPr>
        <w:t>2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不低于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13 kg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；无机氮（折纯量）每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667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 xml:space="preserve"> m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vertAlign w:val="superscript"/>
        </w:rPr>
        <w:t>2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不高于</w:t>
      </w:r>
      <w:r>
        <w:rPr>
          <w:rFonts w:ascii="仿宋_GB2312" w:hAnsi="Times New Roman" w:eastAsia="仿宋_GB2312" w:cstheme="minorBidi"/>
          <w:color w:val="auto"/>
          <w:kern w:val="2"/>
          <w:sz w:val="30"/>
          <w:szCs w:val="30"/>
        </w:rPr>
        <w:t>13 kg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</w:pP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二是病虫害绿色防控。针对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我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区水稻主要病虫害发生发展，以尽可能减少化学农药使用，保持和优化稻田生态系统为基础，优先采用抗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病虫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</w:rPr>
        <w:t>品种、培育壮苗、轮作换茬、养草灭草等农业措施，尽量利用杀虫灯、色板诱杀害虫、机械或人工除草等物理措施和采用性诱剂、释放害虫天敌等生物措施，必要时合理使用生物农药或高效低毒低残留农药，控制病虫草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楷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（二）配套栽培技术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ascii="仿宋_GB2312" w:hAnsi="Times New Roman" w:eastAsia="仿宋_GB2312"/>
          <w:color w:val="auto"/>
          <w:sz w:val="30"/>
          <w:szCs w:val="30"/>
        </w:rPr>
      </w:pPr>
      <w:r>
        <w:rPr>
          <w:rFonts w:hint="eastAsia" w:ascii="仿宋_GB2312" w:hAnsi="Times New Roman" w:eastAsia="仿宋_GB2312"/>
          <w:color w:val="auto"/>
          <w:sz w:val="30"/>
          <w:szCs w:val="30"/>
        </w:rPr>
        <w:t>一是选择优质的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食味粳稻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种源。选择在</w:t>
      </w:r>
      <w:r>
        <w:rPr>
          <w:rFonts w:hint="eastAsia" w:ascii="仿宋_GB2312" w:hAnsi="Times New Roman" w:eastAsia="仿宋_GB2312"/>
          <w:color w:val="auto"/>
          <w:sz w:val="30"/>
          <w:szCs w:val="30"/>
          <w:lang w:eastAsia="zh-CN"/>
        </w:rPr>
        <w:t>本区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有种植基础、食味好、生育期适中和抗逆性强的优质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食味粳稻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品种。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ascii="仿宋_GB2312" w:hAnsi="Times New Roman" w:eastAsia="仿宋_GB2312"/>
          <w:color w:val="auto"/>
          <w:sz w:val="30"/>
          <w:szCs w:val="30"/>
        </w:rPr>
      </w:pPr>
      <w:r>
        <w:rPr>
          <w:rFonts w:hint="eastAsia" w:ascii="仿宋_GB2312" w:hAnsi="Times New Roman" w:eastAsia="仿宋_GB2312"/>
          <w:color w:val="auto"/>
          <w:sz w:val="30"/>
          <w:szCs w:val="30"/>
        </w:rPr>
        <w:t>二是合理的茬口搭配。结合</w:t>
      </w:r>
      <w:r>
        <w:rPr>
          <w:rFonts w:hint="eastAsia" w:ascii="仿宋_GB2312" w:hAnsi="Times New Roman" w:eastAsia="仿宋_GB2312"/>
          <w:color w:val="auto"/>
          <w:sz w:val="30"/>
          <w:szCs w:val="30"/>
          <w:lang w:eastAsia="zh-CN"/>
        </w:rPr>
        <w:t>本区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现有的水稻茬口模式特</w:t>
      </w:r>
      <w:r>
        <w:rPr>
          <w:rFonts w:ascii="仿宋_GB2312" w:hAnsi="Times New Roman" w:eastAsia="仿宋_GB2312"/>
          <w:color w:val="auto"/>
          <w:sz w:val="30"/>
          <w:szCs w:val="30"/>
        </w:rPr>
        <w:t>点，对于以“绿肥－稻”为主要茬口模式的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“</w:t>
      </w:r>
      <w:r>
        <w:rPr>
          <w:rFonts w:ascii="仿宋_GB2312" w:hAnsi="Times New Roman" w:eastAsia="仿宋_GB2312"/>
          <w:color w:val="auto"/>
          <w:sz w:val="30"/>
          <w:szCs w:val="30"/>
        </w:rPr>
        <w:t>休养轮作型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”</w:t>
      </w:r>
      <w:r>
        <w:rPr>
          <w:rFonts w:ascii="仿宋_GB2312" w:hAnsi="Times New Roman" w:eastAsia="仿宋_GB2312"/>
          <w:color w:val="auto"/>
          <w:sz w:val="30"/>
          <w:szCs w:val="30"/>
        </w:rPr>
        <w:t>，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绿肥茬田块，要求绿肥鲜草产量每</w:t>
      </w:r>
      <w:r>
        <w:rPr>
          <w:rFonts w:ascii="仿宋_GB2312" w:hAnsi="Times New Roman" w:eastAsia="仿宋_GB2312"/>
          <w:color w:val="auto"/>
          <w:sz w:val="30"/>
          <w:szCs w:val="30"/>
        </w:rPr>
        <w:t xml:space="preserve">667 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m</w:t>
      </w:r>
      <w:r>
        <w:rPr>
          <w:rFonts w:hint="eastAsia"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达</w:t>
      </w:r>
      <w:r>
        <w:rPr>
          <w:rFonts w:ascii="仿宋_GB2312" w:hAnsi="Times New Roman" w:eastAsia="仿宋_GB2312"/>
          <w:color w:val="auto"/>
          <w:sz w:val="30"/>
          <w:szCs w:val="30"/>
        </w:rPr>
        <w:t>1000 kg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1500 kg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，绿肥耕地翻压还田时间</w:t>
      </w:r>
      <w:r>
        <w:rPr>
          <w:rFonts w:ascii="仿宋_GB2312" w:hAnsi="Times New Roman" w:eastAsia="仿宋_GB2312"/>
          <w:color w:val="auto"/>
          <w:sz w:val="30"/>
          <w:szCs w:val="30"/>
        </w:rPr>
        <w:t>4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月上中旬，在水稻播栽前</w:t>
      </w:r>
      <w:r>
        <w:rPr>
          <w:rFonts w:ascii="仿宋_GB2312" w:hAnsi="Times New Roman" w:eastAsia="仿宋_GB2312"/>
          <w:color w:val="auto"/>
          <w:sz w:val="30"/>
          <w:szCs w:val="30"/>
        </w:rPr>
        <w:t>1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个月耕地翻压。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ascii="仿宋_GB2312" w:hAnsi="Times New Roman" w:eastAsia="仿宋_GB2312"/>
          <w:color w:val="auto"/>
          <w:sz w:val="30"/>
          <w:szCs w:val="30"/>
        </w:rPr>
      </w:pPr>
      <w:r>
        <w:rPr>
          <w:rFonts w:ascii="仿宋_GB2312" w:hAnsi="Times New Roman" w:eastAsia="仿宋_GB2312"/>
          <w:color w:val="auto"/>
          <w:sz w:val="30"/>
          <w:szCs w:val="30"/>
        </w:rPr>
        <w:t>三是适期播栽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和精量播种</w:t>
      </w:r>
      <w:r>
        <w:rPr>
          <w:rFonts w:ascii="仿宋_GB2312" w:hAnsi="Times New Roman" w:eastAsia="仿宋_GB2312"/>
          <w:color w:val="auto"/>
          <w:sz w:val="30"/>
          <w:szCs w:val="30"/>
        </w:rPr>
        <w:t>。采用机穴播栽培，要求大田播种时田面无积水，湿润播种，早熟中粳类品种应在5月上中旬，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播种量5.0～6.0kg/667</w:t>
      </w:r>
      <w:r>
        <w:rPr>
          <w:rFonts w:hint="default" w:ascii="仿宋_GB2312" w:hAnsi="Times New Roman" w:eastAsia="仿宋_GB2312"/>
          <w:color w:val="auto"/>
          <w:sz w:val="30"/>
          <w:szCs w:val="30"/>
          <w:lang w:val="en-US"/>
        </w:rPr>
        <w:t xml:space="preserve"> </w:t>
      </w:r>
      <w:r>
        <w:rPr>
          <w:rFonts w:ascii="仿宋_GB2312" w:hAnsi="Times New Roman" w:eastAsia="仿宋_GB2312"/>
          <w:color w:val="auto"/>
          <w:sz w:val="30"/>
          <w:szCs w:val="30"/>
        </w:rPr>
        <w:t>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，基本苗控制在9.0～12.0万株/667</w:t>
      </w:r>
      <w:r>
        <w:rPr>
          <w:rFonts w:hint="default" w:ascii="仿宋_GB2312" w:hAnsi="Times New Roman" w:eastAsia="仿宋_GB2312"/>
          <w:color w:val="auto"/>
          <w:sz w:val="30"/>
          <w:szCs w:val="30"/>
          <w:lang w:val="en-US"/>
        </w:rPr>
        <w:t xml:space="preserve"> </w:t>
      </w:r>
      <w:r>
        <w:rPr>
          <w:rFonts w:ascii="仿宋_GB2312" w:hAnsi="Times New Roman" w:eastAsia="仿宋_GB2312"/>
          <w:color w:val="auto"/>
          <w:sz w:val="30"/>
          <w:szCs w:val="30"/>
        </w:rPr>
        <w:t>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hint="default" w:ascii="仿宋_GB2312" w:hAnsi="Times New Roman" w:eastAsia="仿宋_GB2312"/>
          <w:color w:val="auto"/>
          <w:sz w:val="30"/>
          <w:szCs w:val="30"/>
          <w:lang w:val="en-US"/>
        </w:rPr>
        <w:t>,</w:t>
      </w:r>
      <w:r>
        <w:rPr>
          <w:rFonts w:ascii="仿宋_GB2312" w:hAnsi="Times New Roman" w:eastAsia="仿宋_GB2312"/>
          <w:color w:val="auto"/>
          <w:sz w:val="30"/>
          <w:szCs w:val="30"/>
        </w:rPr>
        <w:t>早中熟晚粳品种应在5月底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6月上旬播种，播种量在4.0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5.0kg/667</w:t>
      </w:r>
      <w:r>
        <w:rPr>
          <w:rFonts w:hint="default" w:ascii="仿宋_GB2312" w:hAnsi="Times New Roman" w:eastAsia="仿宋_GB2312"/>
          <w:color w:val="auto"/>
          <w:sz w:val="30"/>
          <w:szCs w:val="30"/>
          <w:lang w:val="en-US"/>
        </w:rPr>
        <w:t xml:space="preserve"> </w:t>
      </w:r>
      <w:r>
        <w:rPr>
          <w:rFonts w:ascii="仿宋_GB2312" w:hAnsi="Times New Roman" w:eastAsia="仿宋_GB2312"/>
          <w:color w:val="auto"/>
          <w:sz w:val="30"/>
          <w:szCs w:val="30"/>
        </w:rPr>
        <w:t>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hint="default" w:ascii="仿宋_GB2312" w:hAnsi="Times New Roman" w:eastAsia="仿宋_GB2312"/>
          <w:color w:val="auto"/>
          <w:sz w:val="30"/>
          <w:szCs w:val="30"/>
          <w:lang w:val="en-US"/>
        </w:rPr>
        <w:t>,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基本苗控制在8.0～9.0万株/667</w:t>
      </w:r>
      <w:r>
        <w:rPr>
          <w:rFonts w:hint="default" w:ascii="仿宋_GB2312" w:hAnsi="Times New Roman" w:eastAsia="仿宋_GB2312"/>
          <w:color w:val="auto"/>
          <w:sz w:val="30"/>
          <w:szCs w:val="30"/>
          <w:lang w:val="en-US"/>
        </w:rPr>
        <w:t xml:space="preserve"> </w:t>
      </w:r>
      <w:r>
        <w:rPr>
          <w:rFonts w:ascii="仿宋_GB2312" w:hAnsi="Times New Roman" w:eastAsia="仿宋_GB2312"/>
          <w:color w:val="auto"/>
          <w:sz w:val="30"/>
          <w:szCs w:val="30"/>
        </w:rPr>
        <w:t>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；采用机插秧栽培，早熟中粳类品种力争在4月下旬至5月上旬播种，栽插密度在1.8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2.0万穴/667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，基本苗控制在9.0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11.0万株/667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，早中熟晚粳品种应在6月上中旬播种，栽插密度在1.6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1.8万穴/667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，基本苗控制在7.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0-9.0</w:t>
      </w:r>
      <w:r>
        <w:rPr>
          <w:rFonts w:ascii="仿宋_GB2312" w:hAnsi="Times New Roman" w:eastAsia="仿宋_GB2312"/>
          <w:color w:val="auto"/>
          <w:sz w:val="30"/>
          <w:szCs w:val="30"/>
        </w:rPr>
        <w:t>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ascii="仿宋_GB2312" w:hAnsi="Times New Roman" w:eastAsia="仿宋_GB2312"/>
          <w:color w:val="auto"/>
          <w:sz w:val="30"/>
          <w:szCs w:val="30"/>
        </w:rPr>
      </w:pPr>
      <w:r>
        <w:rPr>
          <w:rFonts w:hint="eastAsia" w:ascii="仿宋_GB2312" w:hAnsi="Times New Roman" w:eastAsia="仿宋_GB2312"/>
          <w:color w:val="auto"/>
          <w:sz w:val="30"/>
          <w:szCs w:val="30"/>
        </w:rPr>
        <w:t>四是肥料合理施用。对于</w:t>
      </w:r>
      <w:r>
        <w:rPr>
          <w:rFonts w:ascii="仿宋_GB2312" w:hAnsi="Times New Roman" w:eastAsia="仿宋_GB2312"/>
          <w:color w:val="auto"/>
          <w:sz w:val="30"/>
          <w:szCs w:val="30"/>
        </w:rPr>
        <w:t>以“绿肥－稻”为主要茬口模式的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“</w:t>
      </w:r>
      <w:r>
        <w:rPr>
          <w:rFonts w:ascii="仿宋_GB2312" w:hAnsi="Times New Roman" w:eastAsia="仿宋_GB2312"/>
          <w:color w:val="auto"/>
          <w:sz w:val="30"/>
          <w:szCs w:val="30"/>
        </w:rPr>
        <w:t>休养轮作型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”田块，全生育期总用氮量要求有机氮（折纯量）每</w:t>
      </w:r>
      <w:r>
        <w:rPr>
          <w:rFonts w:ascii="仿宋_GB2312" w:hAnsi="Times New Roman" w:eastAsia="仿宋_GB2312"/>
          <w:color w:val="auto"/>
          <w:sz w:val="30"/>
          <w:szCs w:val="30"/>
        </w:rPr>
        <w:t>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不低于</w:t>
      </w:r>
      <w:r>
        <w:rPr>
          <w:rFonts w:ascii="仿宋_GB2312" w:hAnsi="Times New Roman" w:eastAsia="仿宋_GB2312"/>
          <w:color w:val="auto"/>
          <w:sz w:val="30"/>
          <w:szCs w:val="30"/>
        </w:rPr>
        <w:t>13 kg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，无机氮（折纯量）</w:t>
      </w:r>
      <w:r>
        <w:rPr>
          <w:rFonts w:ascii="仿宋_GB2312" w:hAnsi="Times New Roman" w:eastAsia="仿宋_GB2312"/>
          <w:color w:val="auto"/>
          <w:sz w:val="30"/>
          <w:szCs w:val="30"/>
        </w:rPr>
        <w:t>每667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 xml:space="preserve"> 不高于13 kg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，</w:t>
      </w:r>
      <w:r>
        <w:rPr>
          <w:rFonts w:ascii="仿宋_GB2312" w:hAnsi="Times New Roman" w:eastAsia="仿宋_GB2312"/>
          <w:color w:val="auto"/>
          <w:sz w:val="30"/>
          <w:szCs w:val="30"/>
        </w:rPr>
        <w:t>且前、后期氮化肥比例低于8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:</w:t>
      </w:r>
      <w:r>
        <w:rPr>
          <w:rFonts w:ascii="仿宋_GB2312" w:hAnsi="Times New Roman" w:eastAsia="仿宋_GB2312"/>
          <w:color w:val="auto"/>
          <w:sz w:val="30"/>
          <w:szCs w:val="30"/>
        </w:rPr>
        <w:t>2；化肥氮（N）、磷（P</w:t>
      </w:r>
      <w:r>
        <w:rPr>
          <w:rFonts w:hint="eastAsia" w:ascii="仿宋_GB2312" w:hAnsi="Times New Roman" w:eastAsia="仿宋_GB2312"/>
          <w:color w:val="auto"/>
          <w:sz w:val="30"/>
          <w:szCs w:val="30"/>
          <w:vertAlign w:val="subscript"/>
          <w:lang w:val="en-US" w:eastAsia="zh-CN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O</w:t>
      </w:r>
      <w:r>
        <w:rPr>
          <w:rFonts w:hint="eastAsia" w:ascii="仿宋_GB2312" w:hAnsi="Times New Roman" w:eastAsia="仿宋_GB2312"/>
          <w:color w:val="auto"/>
          <w:sz w:val="30"/>
          <w:szCs w:val="30"/>
          <w:vertAlign w:val="subscript"/>
          <w:lang w:val="en-US" w:eastAsia="zh-CN"/>
        </w:rPr>
        <w:t>5</w:t>
      </w:r>
      <w:r>
        <w:rPr>
          <w:rFonts w:ascii="仿宋_GB2312" w:hAnsi="Times New Roman" w:eastAsia="仿宋_GB2312"/>
          <w:color w:val="auto"/>
          <w:sz w:val="30"/>
          <w:szCs w:val="30"/>
        </w:rPr>
        <w:t>）、钾（K</w:t>
      </w:r>
      <w:r>
        <w:rPr>
          <w:rFonts w:hint="eastAsia" w:ascii="仿宋_GB2312" w:hAnsi="Times New Roman" w:eastAsia="仿宋_GB2312"/>
          <w:color w:val="auto"/>
          <w:sz w:val="30"/>
          <w:szCs w:val="30"/>
          <w:vertAlign w:val="subscript"/>
          <w:lang w:val="en-US" w:eastAsia="zh-CN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O）总养分配比1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:</w:t>
      </w:r>
      <w:r>
        <w:rPr>
          <w:rFonts w:ascii="仿宋_GB2312" w:hAnsi="Times New Roman" w:eastAsia="仿宋_GB2312"/>
          <w:color w:val="auto"/>
          <w:sz w:val="30"/>
          <w:szCs w:val="30"/>
        </w:rPr>
        <w:t>（0.23～0.26）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:</w:t>
      </w:r>
      <w:r>
        <w:rPr>
          <w:rFonts w:ascii="仿宋_GB2312" w:hAnsi="Times New Roman" w:eastAsia="仿宋_GB2312"/>
          <w:color w:val="auto"/>
          <w:sz w:val="30"/>
          <w:szCs w:val="30"/>
        </w:rPr>
        <w:t>（0.25～0.30）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。</w:t>
      </w:r>
      <w:r>
        <w:rPr>
          <w:rFonts w:ascii="仿宋_GB2312" w:hAnsi="Times New Roman" w:eastAsia="仿宋_GB2312"/>
          <w:color w:val="auto"/>
          <w:sz w:val="30"/>
          <w:szCs w:val="30"/>
        </w:rPr>
        <w:t>基肥的施用在前茬绿肥耕翻还田基础上，每667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大田增施商品有机肥500 kg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800 kg；分蘖肥以施尿素为主，要求分2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3次使用，第1次在机插秧苗活棵后或机穴播秧苗3叶至4叶期，第2次间隔7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10天，第3次可视稻苗长势情况补施，用于捉黄塘、促平衡；长粗肥在水稻分蘖后期结合搁田控苗措施落实，在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最后一次搁田前施入，做到带肥搁田，早熟中粳类国庆稻品种，在</w:t>
      </w:r>
      <w:r>
        <w:rPr>
          <w:rFonts w:ascii="仿宋_GB2312" w:hAnsi="Times New Roman" w:eastAsia="仿宋_GB2312"/>
          <w:color w:val="auto"/>
          <w:sz w:val="30"/>
          <w:szCs w:val="30"/>
        </w:rPr>
        <w:t>6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月底前后施入，对于晚粳类品种，要求在</w:t>
      </w:r>
      <w:r>
        <w:rPr>
          <w:rFonts w:ascii="仿宋_GB2312" w:hAnsi="Times New Roman" w:eastAsia="仿宋_GB2312"/>
          <w:color w:val="auto"/>
          <w:sz w:val="30"/>
          <w:szCs w:val="30"/>
        </w:rPr>
        <w:t>“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大暑</w:t>
      </w:r>
      <w:r>
        <w:rPr>
          <w:rFonts w:ascii="仿宋_GB2312" w:hAnsi="Times New Roman" w:eastAsia="仿宋_GB2312"/>
          <w:color w:val="auto"/>
          <w:sz w:val="30"/>
          <w:szCs w:val="30"/>
        </w:rPr>
        <w:t>”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节气前后施入；穗肥的施用视品种类型区别分类，对于早熟中粳类国庆稻品种，提倡不使用穗肥，对于晚粳类品种，</w:t>
      </w:r>
      <w:r>
        <w:rPr>
          <w:rFonts w:hint="eastAsia" w:ascii="仿宋_GB2312" w:hAnsi="Times New Roman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以早施、少施为宜，若确需施用穗肥的，施用时期应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在倒</w:t>
      </w:r>
      <w:r>
        <w:rPr>
          <w:rFonts w:ascii="仿宋_GB2312" w:hAnsi="Times New Roman" w:eastAsia="仿宋_GB2312"/>
          <w:color w:val="auto"/>
          <w:sz w:val="30"/>
          <w:szCs w:val="30"/>
        </w:rPr>
        <w:t>3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叶期使用，宜早不宜迟，对不使用穗肥的田块，后期应根据稻苗长势长相，在孕穗初期或扬花后期进行叶面喷施有机水溶肥料、或氨基酸水溶肥、或复合微量元素肥。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ascii="仿宋_GB2312" w:hAnsi="Times New Roman" w:eastAsia="仿宋_GB2312"/>
          <w:color w:val="auto"/>
          <w:sz w:val="30"/>
          <w:szCs w:val="30"/>
        </w:rPr>
      </w:pPr>
      <w:r>
        <w:rPr>
          <w:rFonts w:ascii="仿宋_GB2312" w:hAnsi="Times New Roman" w:eastAsia="仿宋_GB2312"/>
          <w:color w:val="auto"/>
          <w:sz w:val="30"/>
          <w:szCs w:val="30"/>
        </w:rPr>
        <w:t>五是有效调控群体质量。通过科学的肥水管理，有效调控各阶段群体指标。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对于</w:t>
      </w:r>
      <w:r>
        <w:rPr>
          <w:rFonts w:ascii="仿宋_GB2312" w:hAnsi="Times New Roman" w:eastAsia="仿宋_GB2312"/>
          <w:color w:val="auto"/>
          <w:sz w:val="30"/>
          <w:szCs w:val="30"/>
        </w:rPr>
        <w:t>机穴播栽培，早熟中粳类品种高峰苗控制在32.0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36.0万株/667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，有效穗22.0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24.0万株/667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，早中熟晚粳类品种高峰苗控制在34.0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38.0万株/667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，有效穗23.0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26.0万株/667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；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对于</w:t>
      </w:r>
      <w:r>
        <w:rPr>
          <w:rFonts w:ascii="仿宋_GB2312" w:hAnsi="Times New Roman" w:eastAsia="仿宋_GB2312"/>
          <w:color w:val="auto"/>
          <w:sz w:val="30"/>
          <w:szCs w:val="30"/>
        </w:rPr>
        <w:t>机插</w:t>
      </w:r>
      <w:r>
        <w:rPr>
          <w:rFonts w:hint="eastAsia" w:ascii="仿宋_GB2312" w:hAnsi="Times New Roman" w:eastAsia="仿宋_GB2312"/>
          <w:color w:val="auto"/>
          <w:sz w:val="30"/>
          <w:szCs w:val="30"/>
          <w:lang w:eastAsia="zh-CN"/>
        </w:rPr>
        <w:t>稻</w:t>
      </w:r>
      <w:r>
        <w:rPr>
          <w:rFonts w:ascii="仿宋_GB2312" w:hAnsi="Times New Roman" w:eastAsia="仿宋_GB2312"/>
          <w:color w:val="auto"/>
          <w:sz w:val="30"/>
          <w:szCs w:val="30"/>
        </w:rPr>
        <w:t>栽培，早熟中粳类品种高峰苗控制在28.0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32.0万株/667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，有效穗20.0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22.0万株/667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，早中熟晚粳类品种高峰苗控制在28.0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32.0万株/667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，有效穗21.0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-</w:t>
      </w:r>
      <w:r>
        <w:rPr>
          <w:rFonts w:ascii="仿宋_GB2312" w:hAnsi="Times New Roman" w:eastAsia="仿宋_GB2312"/>
          <w:color w:val="auto"/>
          <w:sz w:val="30"/>
          <w:szCs w:val="30"/>
        </w:rPr>
        <w:t>24.0万株/667 m</w:t>
      </w:r>
      <w:r>
        <w:rPr>
          <w:rFonts w:ascii="仿宋_GB2312" w:hAnsi="Times New Roman" w:eastAsia="仿宋_GB2312"/>
          <w:color w:val="auto"/>
          <w:sz w:val="30"/>
          <w:szCs w:val="30"/>
          <w:vertAlign w:val="superscript"/>
        </w:rPr>
        <w:t>2</w:t>
      </w:r>
      <w:r>
        <w:rPr>
          <w:rFonts w:ascii="仿宋_GB2312" w:hAnsi="Times New Roman" w:eastAsia="仿宋_GB2312"/>
          <w:color w:val="auto"/>
          <w:sz w:val="30"/>
          <w:szCs w:val="30"/>
        </w:rPr>
        <w:t>。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另外，由于</w:t>
      </w:r>
      <w:r>
        <w:rPr>
          <w:rFonts w:hint="eastAsia" w:ascii="仿宋_GB2312" w:hAnsi="Times New Roman" w:eastAsia="仿宋_GB2312"/>
          <w:color w:val="auto"/>
          <w:sz w:val="30"/>
          <w:szCs w:val="30"/>
          <w:lang w:eastAsia="zh-CN"/>
        </w:rPr>
        <w:t>优质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食味粳稻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类品种茎秆较常规品种偏软，因此需要高度重视搁田工作，提高根系活力，增强抗倒性。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ascii="仿宋_GB2312" w:hAnsi="Times New Roman" w:eastAsia="仿宋_GB2312"/>
          <w:color w:val="auto"/>
          <w:sz w:val="30"/>
          <w:szCs w:val="30"/>
        </w:rPr>
      </w:pPr>
      <w:r>
        <w:rPr>
          <w:rFonts w:hint="eastAsia" w:ascii="仿宋_GB2312" w:hAnsi="Times New Roman" w:eastAsia="仿宋_GB2312"/>
          <w:color w:val="auto"/>
          <w:sz w:val="30"/>
          <w:szCs w:val="30"/>
        </w:rPr>
        <w:t>六是绿色防控技术和生物多样性控制病虫害。防治原则以保持和优化农业生态系统为基础，优先选用农业措施，采用抗</w:t>
      </w:r>
      <w:r>
        <w:rPr>
          <w:rFonts w:hint="eastAsia" w:ascii="仿宋_GB2312" w:hAnsi="Times New Roman" w:eastAsia="仿宋_GB2312"/>
          <w:color w:val="auto"/>
          <w:sz w:val="30"/>
          <w:szCs w:val="30"/>
          <w:lang w:val="en-US" w:eastAsia="zh-CN"/>
        </w:rPr>
        <w:t>性较好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品种、培育壮苗、加强栽培管理，冬耕晒垡、轮作换茬、养草灭草、以水控草、以苗压草，在田块周围种植蜜源植物、趋避植物、害虫嗜好植物等，减轻病虫草害发生；尽量利用物理和生物措施，采用色板诱杀害虫，利用机械或人工除草，清洁田园、田埂，人工打捞浪渣、进水口设置过滤网等物理措施，采用性诱剂、释放害虫天敌等生物措施，减轻病虫草害发生；必要时合理使用生物农药或高效低毒低残留农药，控制病虫草害。</w:t>
      </w:r>
      <w:r>
        <w:rPr>
          <w:rFonts w:hint="eastAsia" w:ascii="仿宋_GB2312" w:hAnsi="Times New Roman" w:eastAsia="仿宋_GB2312"/>
          <w:color w:val="auto"/>
          <w:sz w:val="30"/>
          <w:szCs w:val="30"/>
          <w:lang w:eastAsia="zh-CN"/>
        </w:rPr>
        <w:t>优质</w:t>
      </w:r>
      <w:r>
        <w:rPr>
          <w:rFonts w:hint="eastAsia" w:ascii="仿宋_GB2312" w:hAnsi="Times New Roman" w:eastAsia="仿宋_GB2312" w:cstheme="minorBidi"/>
          <w:color w:val="auto"/>
          <w:kern w:val="2"/>
          <w:sz w:val="30"/>
          <w:szCs w:val="30"/>
          <w:lang w:eastAsia="zh-CN"/>
        </w:rPr>
        <w:t>食味粳稻类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品种由于较常规稻品种相比，易感稻瘟病，因此要加强稻瘟病的防治，特别是穗颈瘟防治。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hint="eastAsia" w:ascii="仿宋_GB2312" w:hAnsi="Times New Roman" w:eastAsia="仿宋_GB2312"/>
          <w:color w:val="auto"/>
          <w:sz w:val="30"/>
          <w:szCs w:val="30"/>
        </w:rPr>
      </w:pPr>
      <w:r>
        <w:rPr>
          <w:rFonts w:hint="eastAsia" w:ascii="仿宋_GB2312" w:hAnsi="Times New Roman" w:eastAsia="仿宋_GB2312"/>
          <w:color w:val="auto"/>
          <w:sz w:val="30"/>
          <w:szCs w:val="30"/>
        </w:rPr>
        <w:t>七是适时收获。水稻稻穗枝梗变黄，</w:t>
      </w:r>
      <w:r>
        <w:rPr>
          <w:rFonts w:ascii="仿宋_GB2312" w:hAnsi="Times New Roman" w:eastAsia="仿宋_GB2312"/>
          <w:color w:val="auto"/>
          <w:sz w:val="30"/>
          <w:szCs w:val="30"/>
        </w:rPr>
        <w:t>90 %</w:t>
      </w:r>
      <w:r>
        <w:rPr>
          <w:rFonts w:hint="eastAsia" w:ascii="仿宋_GB2312" w:hAnsi="Times New Roman" w:eastAsia="仿宋_GB2312"/>
          <w:color w:val="auto"/>
          <w:sz w:val="30"/>
          <w:szCs w:val="30"/>
        </w:rPr>
        <w:t>以上稻谷呈金黄色为最适收获期。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hint="eastAsia" w:ascii="仿宋_GB2312" w:hAnsi="Times New Roman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rPr>
          <w:rFonts w:hint="eastAsia" w:ascii="仿宋_GB2312" w:hAnsi="Times New Roman" w:eastAsia="仿宋_GB2312"/>
          <w:color w:val="auto"/>
          <w:sz w:val="30"/>
          <w:szCs w:val="30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 w:firstLineChars="200"/>
        <w:jc w:val="both"/>
        <w:textAlignment w:val="auto"/>
        <w:rPr>
          <w:rFonts w:hint="eastAsia" w:ascii="仿宋_GB2312" w:hAnsi="Times New Roman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500" w:firstLineChars="1500"/>
        <w:jc w:val="center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上海市奉贤区农业技术推广中心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500" w:firstLineChars="1500"/>
        <w:jc w:val="center"/>
        <w:textAlignment w:val="auto"/>
        <w:rPr>
          <w:rFonts w:hint="eastAsia" w:ascii="仿宋_GB2312" w:hAnsi="Times New Roman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</w:t>
      </w:r>
      <w:r>
        <w:rPr>
          <w:rFonts w:hint="eastAsia" w:ascii="仿宋_GB2312" w:hAnsi="宋体" w:cs="宋体"/>
          <w:sz w:val="30"/>
          <w:szCs w:val="30"/>
        </w:rPr>
        <w:t>〇</w:t>
      </w:r>
      <w:r>
        <w:rPr>
          <w:rFonts w:hint="eastAsia" w:ascii="仿宋_GB2312" w:hAnsi="仿宋_GB2312" w:eastAsia="仿宋_GB2312" w:cs="仿宋_GB2312"/>
          <w:sz w:val="30"/>
          <w:szCs w:val="30"/>
        </w:rPr>
        <w:t>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</w:t>
      </w:r>
      <w:r>
        <w:rPr>
          <w:rFonts w:hint="eastAsia" w:ascii="仿宋_GB2312" w:eastAsia="仿宋_GB2312"/>
          <w:sz w:val="30"/>
          <w:szCs w:val="30"/>
        </w:rPr>
        <w:t>日</w:t>
      </w:r>
    </w:p>
    <w:sectPr>
      <w:footerReference r:id="rId3" w:type="default"/>
      <w:pgSz w:w="11906" w:h="16838"/>
      <w:pgMar w:top="1440" w:right="1463" w:bottom="1440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69686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ZWZiOTg3MGNlZjE0ZTkzZTljOTEzMDE2NmZjZTEifQ=="/>
  </w:docVars>
  <w:rsids>
    <w:rsidRoot w:val="00E64DE8"/>
    <w:rsid w:val="00005775"/>
    <w:rsid w:val="000528B3"/>
    <w:rsid w:val="00057819"/>
    <w:rsid w:val="00066871"/>
    <w:rsid w:val="000814D9"/>
    <w:rsid w:val="0008215D"/>
    <w:rsid w:val="00093DE0"/>
    <w:rsid w:val="000A0469"/>
    <w:rsid w:val="000A40D9"/>
    <w:rsid w:val="000B3DE9"/>
    <w:rsid w:val="000C05F2"/>
    <w:rsid w:val="000F5530"/>
    <w:rsid w:val="00122EC8"/>
    <w:rsid w:val="00122ECF"/>
    <w:rsid w:val="0012451F"/>
    <w:rsid w:val="0012512F"/>
    <w:rsid w:val="001275A3"/>
    <w:rsid w:val="0013250F"/>
    <w:rsid w:val="0014572E"/>
    <w:rsid w:val="00145C24"/>
    <w:rsid w:val="00166FF1"/>
    <w:rsid w:val="001872E3"/>
    <w:rsid w:val="001975A9"/>
    <w:rsid w:val="001A32D3"/>
    <w:rsid w:val="001B1237"/>
    <w:rsid w:val="001C5500"/>
    <w:rsid w:val="00205AF3"/>
    <w:rsid w:val="00217C7C"/>
    <w:rsid w:val="0023412D"/>
    <w:rsid w:val="002359AC"/>
    <w:rsid w:val="0024666C"/>
    <w:rsid w:val="0024743C"/>
    <w:rsid w:val="00247AE0"/>
    <w:rsid w:val="00264D17"/>
    <w:rsid w:val="00264ECC"/>
    <w:rsid w:val="00274BDB"/>
    <w:rsid w:val="0027664A"/>
    <w:rsid w:val="002A394E"/>
    <w:rsid w:val="002B2405"/>
    <w:rsid w:val="002C0B38"/>
    <w:rsid w:val="002D2D29"/>
    <w:rsid w:val="002D3306"/>
    <w:rsid w:val="002E1884"/>
    <w:rsid w:val="00330207"/>
    <w:rsid w:val="003318BF"/>
    <w:rsid w:val="003467E3"/>
    <w:rsid w:val="00392991"/>
    <w:rsid w:val="003B7E4B"/>
    <w:rsid w:val="003C69CF"/>
    <w:rsid w:val="003C7DEF"/>
    <w:rsid w:val="003D3F59"/>
    <w:rsid w:val="003E6070"/>
    <w:rsid w:val="003F3B1D"/>
    <w:rsid w:val="004074AD"/>
    <w:rsid w:val="00412D35"/>
    <w:rsid w:val="0043482E"/>
    <w:rsid w:val="00444083"/>
    <w:rsid w:val="00445BC5"/>
    <w:rsid w:val="00461946"/>
    <w:rsid w:val="0048030B"/>
    <w:rsid w:val="00481938"/>
    <w:rsid w:val="00483A7B"/>
    <w:rsid w:val="00485F84"/>
    <w:rsid w:val="00486803"/>
    <w:rsid w:val="0049700E"/>
    <w:rsid w:val="004B0B4C"/>
    <w:rsid w:val="004D679C"/>
    <w:rsid w:val="004E569F"/>
    <w:rsid w:val="004F123B"/>
    <w:rsid w:val="0050183A"/>
    <w:rsid w:val="0051390C"/>
    <w:rsid w:val="00523321"/>
    <w:rsid w:val="00530F50"/>
    <w:rsid w:val="00563848"/>
    <w:rsid w:val="005756FB"/>
    <w:rsid w:val="00576AB1"/>
    <w:rsid w:val="005940E0"/>
    <w:rsid w:val="00595C2E"/>
    <w:rsid w:val="005A7124"/>
    <w:rsid w:val="005B49AA"/>
    <w:rsid w:val="005B6E6D"/>
    <w:rsid w:val="005C3A36"/>
    <w:rsid w:val="005C7744"/>
    <w:rsid w:val="005D5805"/>
    <w:rsid w:val="00600191"/>
    <w:rsid w:val="00602F81"/>
    <w:rsid w:val="00607792"/>
    <w:rsid w:val="00612C8A"/>
    <w:rsid w:val="006177F7"/>
    <w:rsid w:val="00621F02"/>
    <w:rsid w:val="00622DEA"/>
    <w:rsid w:val="00632545"/>
    <w:rsid w:val="006400BB"/>
    <w:rsid w:val="006569CC"/>
    <w:rsid w:val="006639B4"/>
    <w:rsid w:val="00664464"/>
    <w:rsid w:val="006670FE"/>
    <w:rsid w:val="0067006A"/>
    <w:rsid w:val="006848AF"/>
    <w:rsid w:val="006902CF"/>
    <w:rsid w:val="006B2919"/>
    <w:rsid w:val="006B5C0B"/>
    <w:rsid w:val="006C26C0"/>
    <w:rsid w:val="006D4B4A"/>
    <w:rsid w:val="006D6E9E"/>
    <w:rsid w:val="006E46C7"/>
    <w:rsid w:val="007006E1"/>
    <w:rsid w:val="00710376"/>
    <w:rsid w:val="00730CB4"/>
    <w:rsid w:val="00746797"/>
    <w:rsid w:val="00751555"/>
    <w:rsid w:val="007526E6"/>
    <w:rsid w:val="007B7E37"/>
    <w:rsid w:val="007C367B"/>
    <w:rsid w:val="007C4DDD"/>
    <w:rsid w:val="007F4AC3"/>
    <w:rsid w:val="00801BD7"/>
    <w:rsid w:val="00806EA3"/>
    <w:rsid w:val="0082043D"/>
    <w:rsid w:val="008337E4"/>
    <w:rsid w:val="00870680"/>
    <w:rsid w:val="00870BD9"/>
    <w:rsid w:val="00872EBC"/>
    <w:rsid w:val="00892D9B"/>
    <w:rsid w:val="008B00C0"/>
    <w:rsid w:val="008D4A9D"/>
    <w:rsid w:val="008E42F9"/>
    <w:rsid w:val="009033BC"/>
    <w:rsid w:val="00903E28"/>
    <w:rsid w:val="0096471C"/>
    <w:rsid w:val="009705E3"/>
    <w:rsid w:val="009812B6"/>
    <w:rsid w:val="0099351A"/>
    <w:rsid w:val="009A0D75"/>
    <w:rsid w:val="009B1E61"/>
    <w:rsid w:val="009E0776"/>
    <w:rsid w:val="009E1571"/>
    <w:rsid w:val="009E160B"/>
    <w:rsid w:val="009E6043"/>
    <w:rsid w:val="009E66A0"/>
    <w:rsid w:val="00A06A03"/>
    <w:rsid w:val="00A37895"/>
    <w:rsid w:val="00A45C73"/>
    <w:rsid w:val="00AA50AC"/>
    <w:rsid w:val="00AE296B"/>
    <w:rsid w:val="00AE3A76"/>
    <w:rsid w:val="00AE7050"/>
    <w:rsid w:val="00AE7121"/>
    <w:rsid w:val="00B011D7"/>
    <w:rsid w:val="00B076DA"/>
    <w:rsid w:val="00B202E4"/>
    <w:rsid w:val="00B349C6"/>
    <w:rsid w:val="00B62251"/>
    <w:rsid w:val="00BF1929"/>
    <w:rsid w:val="00C12866"/>
    <w:rsid w:val="00C47F58"/>
    <w:rsid w:val="00C52C4B"/>
    <w:rsid w:val="00C57647"/>
    <w:rsid w:val="00C62B72"/>
    <w:rsid w:val="00C636AB"/>
    <w:rsid w:val="00C74C97"/>
    <w:rsid w:val="00C84F49"/>
    <w:rsid w:val="00C86FBB"/>
    <w:rsid w:val="00C92C7E"/>
    <w:rsid w:val="00C93244"/>
    <w:rsid w:val="00C93F0A"/>
    <w:rsid w:val="00C96E3B"/>
    <w:rsid w:val="00CA1F74"/>
    <w:rsid w:val="00CE6260"/>
    <w:rsid w:val="00CE7C0A"/>
    <w:rsid w:val="00CF1121"/>
    <w:rsid w:val="00CF3CE6"/>
    <w:rsid w:val="00D17110"/>
    <w:rsid w:val="00D22F5D"/>
    <w:rsid w:val="00D27F20"/>
    <w:rsid w:val="00D52A41"/>
    <w:rsid w:val="00D8043A"/>
    <w:rsid w:val="00D805FE"/>
    <w:rsid w:val="00DD3A38"/>
    <w:rsid w:val="00DD4F3B"/>
    <w:rsid w:val="00DE75C0"/>
    <w:rsid w:val="00DF78C8"/>
    <w:rsid w:val="00E049CD"/>
    <w:rsid w:val="00E13FF4"/>
    <w:rsid w:val="00E14CDB"/>
    <w:rsid w:val="00E322DF"/>
    <w:rsid w:val="00E37E61"/>
    <w:rsid w:val="00E46B34"/>
    <w:rsid w:val="00E64DE8"/>
    <w:rsid w:val="00E74E69"/>
    <w:rsid w:val="00EA3054"/>
    <w:rsid w:val="00EB0041"/>
    <w:rsid w:val="00EB26D2"/>
    <w:rsid w:val="00EC0C2E"/>
    <w:rsid w:val="00EC50B6"/>
    <w:rsid w:val="00ED1A12"/>
    <w:rsid w:val="00ED1A68"/>
    <w:rsid w:val="00EF16E5"/>
    <w:rsid w:val="00EF6EF4"/>
    <w:rsid w:val="00EF714A"/>
    <w:rsid w:val="00F45648"/>
    <w:rsid w:val="00F70AC9"/>
    <w:rsid w:val="00F738C7"/>
    <w:rsid w:val="00F837EB"/>
    <w:rsid w:val="00FC2F35"/>
    <w:rsid w:val="00FE0D78"/>
    <w:rsid w:val="18393B47"/>
    <w:rsid w:val="1B6737B8"/>
    <w:rsid w:val="282143B7"/>
    <w:rsid w:val="37FF93CC"/>
    <w:rsid w:val="3AA065D7"/>
    <w:rsid w:val="4EBF6F7B"/>
    <w:rsid w:val="4FD80BB8"/>
    <w:rsid w:val="79E7A4B8"/>
    <w:rsid w:val="7BFF4772"/>
    <w:rsid w:val="7F5FF563"/>
    <w:rsid w:val="7FFF361F"/>
    <w:rsid w:val="AFBE5A59"/>
    <w:rsid w:val="AFF7C4E3"/>
    <w:rsid w:val="B5EB8D02"/>
    <w:rsid w:val="BEFFBCC6"/>
    <w:rsid w:val="BFFF9A21"/>
    <w:rsid w:val="E6FF0C3E"/>
    <w:rsid w:val="EFFF877D"/>
    <w:rsid w:val="FEF5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kern w:val="0"/>
      <w:sz w:val="24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2595</Words>
  <Characters>2903</Characters>
  <Lines>31</Lines>
  <Paragraphs>8</Paragraphs>
  <TotalTime>37</TotalTime>
  <ScaleCrop>false</ScaleCrop>
  <LinksUpToDate>false</LinksUpToDate>
  <CharactersWithSpaces>2943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2022-02-20T07:05:00Z</dcterms:created>
  <dc:creator>ny-01</dc:creator>
  <cp:lastModifiedBy>王华</cp:lastModifiedBy>
  <cp:lastPrinted>2024-06-27T01:16:00Z</cp:lastPrinted>
  <dcterms:modified xsi:type="dcterms:W3CDTF">2026-06-27T06:41:29Z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F731232C159F48A481BE16AA12937055_13</vt:lpwstr>
  </property>
</Properties>
</file>