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Fonts w:ascii="黑体" w:hAnsi="黑体" w:eastAsia="黑体" w:cs="黑体"/>
          <w:b/>
          <w:bCs/>
          <w:color w:val="FF000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作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物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虫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</w:rPr>
        <w:t>报</w:t>
      </w:r>
    </w:p>
    <w:p>
      <w:pPr>
        <w:spacing w:line="560" w:lineRule="atLeast"/>
        <w:jc w:val="center"/>
        <w:rPr>
          <w:rFonts w:ascii="楷体" w:hAnsi="楷体" w:eastAsia="楷体" w:cs="楷体"/>
          <w:sz w:val="30"/>
          <w:szCs w:val="30"/>
          <w:lang w:val="en-US"/>
        </w:rPr>
      </w:pPr>
      <w:r>
        <w:rPr>
          <w:rFonts w:hint="eastAsia" w:ascii="楷体" w:hAnsi="楷体" w:eastAsia="楷体" w:cs="楷体"/>
          <w:sz w:val="30"/>
          <w:szCs w:val="30"/>
          <w:lang w:val="en-US"/>
        </w:rPr>
        <w:t>总第</w:t>
      </w:r>
      <w:r>
        <w:rPr>
          <w:rFonts w:hint="default" w:ascii="楷体" w:hAnsi="楷体" w:eastAsia="楷体" w:cs="楷体"/>
          <w:sz w:val="30"/>
          <w:szCs w:val="30"/>
          <w:lang w:val="en-US"/>
        </w:rPr>
        <w:t>43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/>
        </w:rPr>
        <w:t>期 蔬菜第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10</w:t>
      </w:r>
      <w:r>
        <w:rPr>
          <w:rFonts w:hint="eastAsia" w:ascii="楷体" w:hAnsi="楷体" w:eastAsia="楷体" w:cs="楷体"/>
          <w:sz w:val="30"/>
          <w:szCs w:val="30"/>
          <w:lang w:val="en-US"/>
        </w:rPr>
        <w:t>期</w:t>
      </w:r>
    </w:p>
    <w:p>
      <w:pPr>
        <w:jc w:val="center"/>
        <w:rPr>
          <w:rFonts w:hAnsi="宋体" w:cs="宋体"/>
          <w:b/>
          <w:bCs/>
          <w:sz w:val="30"/>
          <w:szCs w:val="30"/>
          <w:lang w:val="en-US"/>
        </w:rPr>
      </w:pPr>
    </w:p>
    <w:p>
      <w:pPr>
        <w:jc w:val="center"/>
        <w:rPr>
          <w:rFonts w:ascii="仿宋_GB2312" w:hAnsi="仿宋_GB2312" w:eastAsia="仿宋_GB2312" w:cs="仿宋_GB2312"/>
          <w:sz w:val="30"/>
          <w:szCs w:val="30"/>
          <w:u w:val="single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上海市奉贤区农业技术推广中心            202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/>
        </w:rPr>
        <w:t>日</w:t>
      </w:r>
    </w:p>
    <w:p>
      <w:pPr>
        <w:widowControl/>
        <w:spacing w:line="360" w:lineRule="auto"/>
        <w:ind w:firstLine="480"/>
        <w:jc w:val="center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val="en-US" w:eastAsia="zh-CN"/>
        </w:rPr>
        <w:t>蔬菜蓟马发生趋势与防治预报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根据区蔬菜病虫测报点调查，结合作物生育期和天气预报综合分析，预计本区蔬菜蓟马中等偏重发生。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jc w:val="left"/>
        <w:textAlignment w:val="auto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>一、发生情况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（一）茄果类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当前,蓟马在茄果类作物上平均株危害率42%，平均单株虫口数为21.7头。个别保护地采收期茄子，单株虫口高达120头/株。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 xml:space="preserve">（二）豆类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当前，蓟马在豆类（豇豆、菜豆等）上平均株危害率40%，平均单株虫口数为18头。个别保护地采收期豇豆，单株虫口近80头/株。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jc w:val="left"/>
        <w:textAlignment w:val="auto"/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（三）瓜类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当前,蓟马在瓜类上平均株危害率30%，平均单株虫口数为10头。个别保护地黄瓜，单株虫口近65头/株。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sz w:val="30"/>
          <w:szCs w:val="30"/>
          <w:lang w:val="en-US"/>
        </w:rPr>
        <w:t xml:space="preserve">防治意见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bidi w:val="0"/>
        <w:snapToGrid/>
        <w:spacing w:line="520" w:lineRule="exact"/>
        <w:ind w:firstLine="643" w:firstLineChars="200"/>
        <w:jc w:val="left"/>
        <w:textAlignment w:val="auto"/>
        <w:rPr>
          <w:rFonts w:hint="default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（一）绿色防控技术应用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1、农业措施。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结合实际使用与禾本科作物间作、套作，水旱轮作，土壤深翻、生石灰改良土壤等措施。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2、理化诱控。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配合使用覆膜、地膜+防草布、40目～60目防虫网等措施。使用引诱剂、驱避剂，如利用蓝板和蓟马聚集信息素进行监测和防治。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3、生物防治。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保证雨天排水通畅、沟内不积水，降低棚内地下水位。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bidi w:val="0"/>
        <w:snapToGrid/>
        <w:spacing w:before="156" w:line="520" w:lineRule="exact"/>
        <w:ind w:firstLine="643" w:firstLineChars="200"/>
        <w:textAlignment w:val="auto"/>
        <w:rPr>
          <w:rFonts w:hint="eastAsia" w:ascii="仿宋" w:hAnsi="仿宋" w:eastAsia="楷体" w:cs="仿宋"/>
          <w:b/>
          <w:bCs/>
          <w:color w:val="000000"/>
          <w:sz w:val="28"/>
          <w:szCs w:val="28"/>
          <w:u w:color="000000"/>
          <w:lang w:val="zh-TW" w:eastAsia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CN" w:bidi="ar"/>
        </w:rPr>
        <w:t>（二）化学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zh-TW" w:eastAsia="zh-TW" w:bidi="ar"/>
        </w:rPr>
        <w:t>防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-US" w:eastAsia="zh-CN" w:bidi="ar"/>
        </w:rPr>
        <w:t>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1、药剂选择。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可选用高效低毒低残留的化学农药，如乙基多杀菌素、溴氰虫酰胺、噻虫嗪等，以及绿僵菌等生物农药。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2、</w:t>
      </w:r>
      <w:r>
        <w:rPr>
          <w:rFonts w:hint="eastAsia" w:ascii="仿宋" w:hAnsi="仿宋" w:eastAsia="仿宋" w:cs="仿宋"/>
          <w:b/>
          <w:sz w:val="28"/>
          <w:szCs w:val="28"/>
        </w:rPr>
        <w:t>用药</w:t>
      </w:r>
      <w:r>
        <w:rPr>
          <w:rFonts w:ascii="仿宋" w:hAnsi="仿宋" w:eastAsia="仿宋" w:cs="仿宋"/>
          <w:b/>
          <w:sz w:val="28"/>
          <w:szCs w:val="28"/>
        </w:rPr>
        <w:t>时期和方式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开花前以苗期灌根预防为主，爬蔓期以喷雾压低基数为主，开花结果期以生物农药为主，化学农药为辅。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3、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注意事项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0"/>
          <w:szCs w:val="30"/>
          <w:u w:color="000000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特别注意安全间隔期；选用不同作用方式和机制的药剂合理轮换使用。精准用药，合理混用（生物药剂与化学药剂混用）。开展统一防治，减少害虫迁移。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F5EFD"/>
    <w:multiLevelType w:val="singleLevel"/>
    <w:tmpl w:val="F5FF5E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Y2VjMjA1YmM3MzUzMGQxNDFmOTQ4NTNmNDczZjUifQ=="/>
  </w:docVars>
  <w:rsids>
    <w:rsidRoot w:val="2D8145C1"/>
    <w:rsid w:val="0B626F71"/>
    <w:rsid w:val="24B25211"/>
    <w:rsid w:val="2D8145C1"/>
    <w:rsid w:val="478B2A70"/>
    <w:rsid w:val="4ED54882"/>
    <w:rsid w:val="79ED6049"/>
    <w:rsid w:val="DD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34"/>
      <w:szCs w:val="34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1126</Characters>
  <Lines>0</Lines>
  <Paragraphs>0</Paragraphs>
  <TotalTime>4</TotalTime>
  <ScaleCrop>false</ScaleCrop>
  <LinksUpToDate>false</LinksUpToDate>
  <CharactersWithSpaces>1147</CharactersWithSpaces>
  <Application>WPS Office_12.8.0.17018_F1E327BC-269C-435d-A152-05C5408002CA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2025-05-19T14:08:00Z</dcterms:created>
  <dc:creator>strawberry</dc:creator>
  <cp:lastModifiedBy>user</cp:lastModifiedBy>
  <dcterms:modified xsi:type="dcterms:W3CDTF">2025-07-17T09:37:32Z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2052-12.8.0.17018</vt:lpwstr>
  </property>
  <property fmtid="{D5CDD505-2E9C-101B-9397-08002B2CF9AE}" pid="3" name="ICV">
    <vt:lpwstr>4FBC99EC284748F8DC53786876C39405_43</vt:lpwstr>
  </property>
  <property fmtid="{D5CDD505-2E9C-101B-9397-08002B2CF9AE}" pid="4" name="KSOTemplateDocerSaveRecord">
    <vt:lpwstr>eyJoZGlkIjoiYTg5Y2VjMjA1YmM3MzUzMGQxNDFmOTQ4NTNmNDczZjUiLCJ1c2VySWQiOiIxMjIwMTQ4ODU1In0=</vt:lpwstr>
  </property>
</Properties>
</file>