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90CAE" w14:textId="77777777" w:rsidR="00E44BB7" w:rsidRDefault="00C551E9">
      <w:pPr>
        <w:spacing w:line="560" w:lineRule="atLeast"/>
        <w:jc w:val="center"/>
        <w:rPr>
          <w:rFonts w:ascii="黑体" w:eastAsia="黑体" w:hAnsi="黑体" w:cs="黑体"/>
          <w:b/>
          <w:bCs/>
          <w:color w:val="FF0000"/>
          <w:sz w:val="72"/>
          <w:szCs w:val="72"/>
        </w:rPr>
      </w:pPr>
      <w:r>
        <w:rPr>
          <w:rFonts w:ascii="黑体" w:eastAsia="黑体" w:hAnsi="黑体" w:cs="黑体" w:hint="eastAsia"/>
          <w:b/>
          <w:bCs/>
          <w:color w:val="FF0000"/>
          <w:sz w:val="72"/>
          <w:szCs w:val="72"/>
        </w:rPr>
        <w:t>作</w:t>
      </w:r>
      <w:r>
        <w:rPr>
          <w:rFonts w:ascii="黑体" w:eastAsia="黑体" w:hAnsi="黑体" w:cs="黑体"/>
          <w:b/>
          <w:bCs/>
          <w:color w:val="FF0000"/>
          <w:sz w:val="72"/>
          <w:szCs w:val="72"/>
        </w:rPr>
        <w:t xml:space="preserve"> </w:t>
      </w:r>
      <w:r>
        <w:rPr>
          <w:rFonts w:ascii="黑体" w:eastAsia="黑体" w:hAnsi="黑体" w:cs="黑体" w:hint="eastAsia"/>
          <w:b/>
          <w:bCs/>
          <w:color w:val="FF0000"/>
          <w:sz w:val="72"/>
          <w:szCs w:val="72"/>
        </w:rPr>
        <w:t>物</w:t>
      </w:r>
      <w:r>
        <w:rPr>
          <w:rFonts w:ascii="黑体" w:eastAsia="黑体" w:hAnsi="黑体" w:cs="黑体"/>
          <w:b/>
          <w:bCs/>
          <w:color w:val="FF0000"/>
          <w:sz w:val="72"/>
          <w:szCs w:val="72"/>
        </w:rPr>
        <w:t xml:space="preserve"> </w:t>
      </w:r>
      <w:r>
        <w:rPr>
          <w:rFonts w:ascii="黑体" w:eastAsia="黑体" w:hAnsi="黑体" w:cs="黑体" w:hint="eastAsia"/>
          <w:b/>
          <w:bCs/>
          <w:color w:val="FF0000"/>
          <w:sz w:val="72"/>
          <w:szCs w:val="72"/>
        </w:rPr>
        <w:t>病</w:t>
      </w:r>
      <w:r>
        <w:rPr>
          <w:rFonts w:ascii="黑体" w:eastAsia="黑体" w:hAnsi="黑体" w:cs="黑体"/>
          <w:b/>
          <w:bCs/>
          <w:color w:val="FF0000"/>
          <w:sz w:val="72"/>
          <w:szCs w:val="72"/>
        </w:rPr>
        <w:t xml:space="preserve"> </w:t>
      </w:r>
      <w:r>
        <w:rPr>
          <w:rFonts w:ascii="黑体" w:eastAsia="黑体" w:hAnsi="黑体" w:cs="黑体" w:hint="eastAsia"/>
          <w:b/>
          <w:bCs/>
          <w:color w:val="FF0000"/>
          <w:sz w:val="72"/>
          <w:szCs w:val="72"/>
        </w:rPr>
        <w:t>虫</w:t>
      </w:r>
      <w:r>
        <w:rPr>
          <w:rFonts w:ascii="黑体" w:eastAsia="黑体" w:hAnsi="黑体" w:cs="黑体"/>
          <w:b/>
          <w:bCs/>
          <w:color w:val="FF0000"/>
          <w:sz w:val="72"/>
          <w:szCs w:val="72"/>
        </w:rPr>
        <w:t xml:space="preserve"> </w:t>
      </w:r>
      <w:r>
        <w:rPr>
          <w:rFonts w:ascii="黑体" w:eastAsia="黑体" w:hAnsi="黑体" w:cs="黑体" w:hint="eastAsia"/>
          <w:b/>
          <w:bCs/>
          <w:color w:val="FF0000"/>
          <w:sz w:val="72"/>
          <w:szCs w:val="72"/>
        </w:rPr>
        <w:t>情</w:t>
      </w:r>
      <w:r>
        <w:rPr>
          <w:rFonts w:ascii="黑体" w:eastAsia="黑体" w:hAnsi="黑体" w:cs="黑体"/>
          <w:b/>
          <w:bCs/>
          <w:color w:val="FF0000"/>
          <w:sz w:val="72"/>
          <w:szCs w:val="72"/>
        </w:rPr>
        <w:t xml:space="preserve"> </w:t>
      </w:r>
      <w:r>
        <w:rPr>
          <w:rFonts w:ascii="黑体" w:eastAsia="黑体" w:hAnsi="黑体" w:cs="黑体" w:hint="eastAsia"/>
          <w:b/>
          <w:bCs/>
          <w:color w:val="FF0000"/>
          <w:sz w:val="72"/>
          <w:szCs w:val="72"/>
        </w:rPr>
        <w:t>报</w:t>
      </w:r>
    </w:p>
    <w:p w14:paraId="7DF68F58" w14:textId="77777777" w:rsidR="00E44BB7" w:rsidRDefault="00C551E9">
      <w:pPr>
        <w:spacing w:line="560" w:lineRule="atLeast"/>
        <w:jc w:val="center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总第</w:t>
      </w:r>
      <w:r>
        <w:rPr>
          <w:rFonts w:ascii="楷体" w:eastAsia="楷体" w:hAnsi="楷体" w:cs="楷体"/>
          <w:sz w:val="30"/>
          <w:szCs w:val="30"/>
        </w:rPr>
        <w:t>X</w:t>
      </w:r>
      <w:r>
        <w:rPr>
          <w:rFonts w:ascii="楷体" w:eastAsia="楷体" w:hAnsi="楷体" w:cs="楷体" w:hint="eastAsia"/>
          <w:sz w:val="30"/>
          <w:szCs w:val="30"/>
        </w:rPr>
        <w:t>期</w:t>
      </w:r>
      <w:r>
        <w:rPr>
          <w:rFonts w:ascii="楷体" w:eastAsia="楷体" w:hAnsi="楷体" w:cs="楷体"/>
          <w:sz w:val="30"/>
          <w:szCs w:val="30"/>
        </w:rPr>
        <w:t xml:space="preserve"> </w:t>
      </w:r>
      <w:r>
        <w:rPr>
          <w:rFonts w:ascii="楷体" w:eastAsia="楷体" w:hAnsi="楷体" w:cs="楷体" w:hint="eastAsia"/>
          <w:sz w:val="30"/>
          <w:szCs w:val="30"/>
        </w:rPr>
        <w:t>植保第13期</w:t>
      </w:r>
    </w:p>
    <w:p w14:paraId="4514BC56" w14:textId="77777777" w:rsidR="00E44BB7" w:rsidRDefault="00E44BB7">
      <w:pPr>
        <w:jc w:val="center"/>
        <w:rPr>
          <w:rFonts w:eastAsia="Times New Roman" w:hAnsi="宋体" w:cs="宋体"/>
          <w:b/>
          <w:bCs/>
          <w:sz w:val="30"/>
          <w:szCs w:val="30"/>
        </w:rPr>
      </w:pPr>
    </w:p>
    <w:p w14:paraId="31312FE1" w14:textId="128E3E6F" w:rsidR="00E44BB7" w:rsidRDefault="00C551E9">
      <w:pPr>
        <w:autoSpaceDE w:val="0"/>
        <w:autoSpaceDN w:val="0"/>
        <w:adjustRightInd w:val="0"/>
        <w:jc w:val="left"/>
        <w:rPr>
          <w:rFonts w:ascii="???????" w:hAnsi="???????" w:cs="???????"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上海市奉贤区农业技术推广中心</w:t>
      </w:r>
      <w:r>
        <w:rPr>
          <w:rFonts w:ascii="仿宋_GB2312" w:eastAsia="仿宋_GB2312" w:hAnsi="仿宋_GB2312" w:cs="仿宋_GB2312"/>
          <w:sz w:val="30"/>
          <w:szCs w:val="30"/>
          <w:u w:val="single"/>
        </w:rPr>
        <w:t xml:space="preserve">            202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6年10月</w:t>
      </w:r>
      <w:r w:rsidR="00B9084A">
        <w:rPr>
          <w:rFonts w:ascii="仿宋_GB2312" w:eastAsia="仿宋_GB2312" w:hAnsi="仿宋_GB2312" w:cs="仿宋_GB2312" w:hint="eastAsia"/>
          <w:sz w:val="30"/>
          <w:szCs w:val="30"/>
          <w:u w:val="single"/>
        </w:rPr>
        <w:t>10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>日</w:t>
      </w:r>
    </w:p>
    <w:p w14:paraId="0BA42E13" w14:textId="04F23451" w:rsidR="00E44BB7" w:rsidRDefault="00B9084A">
      <w:pPr>
        <w:snapToGrid w:val="0"/>
        <w:spacing w:beforeLines="100" w:before="312" w:afterLines="50" w:after="156"/>
        <w:jc w:val="center"/>
        <w:rPr>
          <w:rFonts w:ascii="???????" w:hAnsi="???????" w:cs="???????"/>
          <w:bCs/>
          <w:sz w:val="36"/>
          <w:szCs w:val="36"/>
        </w:rPr>
      </w:pPr>
      <w:r w:rsidRPr="00B9084A">
        <w:rPr>
          <w:rFonts w:asciiTheme="majorEastAsia" w:eastAsiaTheme="majorEastAsia" w:hAnsiTheme="majorEastAsia" w:cs="???????" w:hint="eastAsia"/>
          <w:bCs/>
          <w:sz w:val="36"/>
          <w:szCs w:val="36"/>
        </w:rPr>
        <w:t>2026</w:t>
      </w:r>
      <w:r w:rsidR="00C551E9">
        <w:rPr>
          <w:rFonts w:ascii="???????" w:hAnsi="???????" w:cs="???????" w:hint="eastAsia"/>
          <w:bCs/>
          <w:sz w:val="36"/>
          <w:szCs w:val="36"/>
        </w:rPr>
        <w:t>年油菜</w:t>
      </w:r>
      <w:r w:rsidRPr="00B9084A">
        <w:rPr>
          <w:rFonts w:ascii="???????" w:hAnsi="???????" w:cs="???????" w:hint="eastAsia"/>
          <w:bCs/>
          <w:sz w:val="36"/>
          <w:szCs w:val="36"/>
        </w:rPr>
        <w:t>前</w:t>
      </w:r>
      <w:r w:rsidR="00C551E9" w:rsidRPr="00B9084A">
        <w:rPr>
          <w:rFonts w:ascii="???????" w:hAnsi="???????" w:cs="???????" w:hint="eastAsia"/>
          <w:bCs/>
          <w:sz w:val="36"/>
          <w:szCs w:val="36"/>
        </w:rPr>
        <w:t>期</w:t>
      </w:r>
      <w:r w:rsidR="00C551E9">
        <w:rPr>
          <w:rFonts w:ascii="???????" w:hAnsi="???????" w:cs="???????" w:hint="eastAsia"/>
          <w:bCs/>
          <w:sz w:val="36"/>
          <w:szCs w:val="36"/>
        </w:rPr>
        <w:t>病虫草防治意见</w:t>
      </w:r>
    </w:p>
    <w:p w14:paraId="78F421E9" w14:textId="530E559F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近期我区油菜</w:t>
      </w:r>
      <w:r w:rsidR="00BB5585">
        <w:rPr>
          <w:rFonts w:ascii="仿宋_GB2312" w:eastAsia="仿宋_GB2312" w:hAnsi="仿宋_GB2312" w:cs="仿宋_GB2312" w:hint="eastAsia"/>
          <w:kern w:val="0"/>
          <w:sz w:val="30"/>
          <w:szCs w:val="30"/>
        </w:rPr>
        <w:t>（</w:t>
      </w:r>
      <w:r w:rsidR="00BB5585" w:rsidRPr="005910CB">
        <w:rPr>
          <w:rFonts w:ascii="仿宋" w:eastAsia="仿宋" w:hAnsi="仿宋" w:cs="仿宋" w:hint="eastAsia"/>
          <w:kern w:val="0"/>
          <w:sz w:val="30"/>
          <w:szCs w:val="30"/>
        </w:rPr>
        <w:t>甘蓝型</w:t>
      </w:r>
      <w:r w:rsidR="00BB5585">
        <w:rPr>
          <w:rFonts w:ascii="仿宋_GB2312" w:eastAsia="仿宋_GB2312" w:hAnsi="仿宋_GB2312" w:cs="仿宋_GB2312" w:hint="eastAsia"/>
          <w:kern w:val="0"/>
          <w:sz w:val="30"/>
          <w:szCs w:val="30"/>
        </w:rPr>
        <w:t>）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陆续播种、出苗，稻茬浅耕机条播面积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占比较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大。受近期温湿度适宜、田间墒情充足等条件影响，田间杂草集中萌发，苗期病虫发生风险明显上升。为切实做好油菜秋季苗期病虫草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害科学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防控，压低冬前发生基数，培育健壮油菜苗，现就当前发生趋势与科学防控意见预报如下：</w:t>
      </w:r>
    </w:p>
    <w:p w14:paraId="48C5D2CB" w14:textId="77777777" w:rsidR="005910CB" w:rsidRPr="00EC57C1" w:rsidRDefault="005910CB" w:rsidP="00EC57C1">
      <w:pPr>
        <w:widowControl/>
        <w:spacing w:line="360" w:lineRule="auto"/>
        <w:ind w:firstLineChars="200" w:firstLine="602"/>
        <w:jc w:val="left"/>
        <w:rPr>
          <w:rFonts w:ascii="仿宋_GB2312" w:eastAsia="仿宋_GB2312" w:hAnsi="仿宋_GB2312" w:cs="仿宋_GB2312"/>
          <w:b/>
          <w:kern w:val="0"/>
          <w:sz w:val="30"/>
          <w:szCs w:val="30"/>
        </w:rPr>
      </w:pPr>
      <w:r w:rsidRPr="00EC57C1"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>一、发生趋势</w:t>
      </w:r>
    </w:p>
    <w:p w14:paraId="683485D8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综合油菜品种布局、稻茬浅耕种植模式、田间墒情及近期气候条件分析，预计全区油菜苗期病虫草害中等发生、局部偏重发生。田间草相以看麦娘、日本看麦娘、菵草等禾本科杂草混生牛繁缕、猪殃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殃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、婆婆纳等阔叶杂草为主；苗期蚜虫、黄曲条跳甲、小菜蛾等虫害将陆续发生，高湿田块苗期病害发生风险偏高。</w:t>
      </w:r>
    </w:p>
    <w:p w14:paraId="41FF8FFA" w14:textId="77777777" w:rsidR="005910CB" w:rsidRPr="00EC57C1" w:rsidRDefault="005910CB" w:rsidP="00EC57C1">
      <w:pPr>
        <w:widowControl/>
        <w:spacing w:line="360" w:lineRule="auto"/>
        <w:ind w:firstLineChars="200" w:firstLine="602"/>
        <w:jc w:val="left"/>
        <w:rPr>
          <w:rFonts w:ascii="仿宋_GB2312" w:eastAsia="仿宋_GB2312" w:hAnsi="仿宋_GB2312" w:cs="仿宋_GB2312"/>
          <w:b/>
          <w:kern w:val="0"/>
          <w:sz w:val="30"/>
          <w:szCs w:val="30"/>
        </w:rPr>
      </w:pPr>
      <w:r w:rsidRPr="00EC57C1"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>二、防控意见</w:t>
      </w:r>
    </w:p>
    <w:p w14:paraId="044341DD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坚持预防为主、综合防控、封杀结合、治早治小、减量控害的防控原则，优先落实农业生态防控与种子药剂处理，抢抓冬前适期开展化学除草与病虫防控，切实压低越冬病虫杂草基数，保障油菜齐苗、全苗、壮苗。</w:t>
      </w:r>
    </w:p>
    <w:p w14:paraId="23427F2C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lastRenderedPageBreak/>
        <w:t>（一）农业防控</w:t>
      </w:r>
    </w:p>
    <w:p w14:paraId="49158430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及时开好田间 “三沟”，确保沟系畅通，快速排除田间积水，有效降低田间湿度，减轻病虫滋生蔓延条件；选用抗耐病优良油菜品种，落实种子预处理工作；根据品种特性合理密植，以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密抑草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、以密壮苗；及时清除田边、沟边杂草及田间病残植株，从源头压低病虫杂草越冬基数；科学肥水管理，杜绝偏施、早施氮肥，培育油菜健壮苗株，提升植株自身抗逆抗病能力。</w:t>
      </w:r>
    </w:p>
    <w:p w14:paraId="597D1109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（二）种子药剂拌种</w:t>
      </w:r>
    </w:p>
    <w:p w14:paraId="2E0359D1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通过种子包衣拌种，实现病虫源头预防，有效防控苗期虫害与苗期土传、种传病害。</w:t>
      </w:r>
    </w:p>
    <w:p w14:paraId="51996EB5" w14:textId="4F66E805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 xml:space="preserve">30% 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噻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虫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嗪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种子处理悬浮剂 8-10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+</w:t>
      </w:r>
      <w:r w:rsidR="007B7200">
        <w:rPr>
          <w:rFonts w:ascii="仿宋_GB2312" w:eastAsia="仿宋_GB2312" w:hAnsi="仿宋_GB2312" w:cs="仿宋_GB2312" w:hint="eastAsia"/>
          <w:kern w:val="0"/>
          <w:sz w:val="30"/>
          <w:szCs w:val="30"/>
        </w:rPr>
        <w:t>25克/升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咯菌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腈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悬浮种衣剂5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，兑水30-50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 xml:space="preserve"> </w:t>
      </w:r>
      <w:r w:rsidR="007B7200">
        <w:rPr>
          <w:rFonts w:ascii="仿宋_GB2312" w:eastAsia="仿宋_GB2312" w:hAnsi="仿宋_GB2312" w:cs="仿宋_GB2312" w:hint="eastAsia"/>
          <w:kern w:val="0"/>
          <w:sz w:val="30"/>
          <w:szCs w:val="30"/>
        </w:rPr>
        <w:t>调制成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药浆，均匀拌制</w:t>
      </w:r>
      <w:r w:rsidR="00424F3B">
        <w:rPr>
          <w:rFonts w:ascii="仿宋_GB2312" w:eastAsia="仿宋_GB2312" w:hAnsi="仿宋_GB2312" w:cs="仿宋_GB2312" w:hint="eastAsia"/>
          <w:kern w:val="0"/>
          <w:sz w:val="30"/>
          <w:szCs w:val="30"/>
        </w:rPr>
        <w:t>1kg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油菜种子，确保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种子着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药均匀、包衣完整。拌种后阴干待播，拌种种子尽量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24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小时内播种完毕。</w:t>
      </w:r>
    </w:p>
    <w:p w14:paraId="0638F00C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（三）杂草综合防控（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一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封一补、封杀结合）</w:t>
      </w:r>
    </w:p>
    <w:p w14:paraId="515DAB1D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我区油菜冬前为杂草主要出草高峰，稻茬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田禾阔杂草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混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生特征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明显。严格落实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播后苗前封闭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为主、苗后早期补治为辅的化除策略，抓住适期科学用药。</w:t>
      </w:r>
    </w:p>
    <w:p w14:paraId="117A5E91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1. 冬前封闭除草</w:t>
      </w:r>
    </w:p>
    <w:p w14:paraId="1E8A8ACA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（1）移栽油菜田</w:t>
      </w:r>
    </w:p>
    <w:p w14:paraId="43FB1E01" w14:textId="215437F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选用</w:t>
      </w:r>
      <w:bookmarkStart w:id="0" w:name="OLE_LINK1"/>
      <w:bookmarkStart w:id="1" w:name="OLE_LINK2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电动喷雾机</w:t>
      </w:r>
      <w:bookmarkEnd w:id="0"/>
      <w:bookmarkEnd w:id="1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均匀喷雾，在油菜移栽前或移栽后2天内、田间土壤湿润条件下施药。</w:t>
      </w:r>
    </w:p>
    <w:p w14:paraId="13BAF62A" w14:textId="44F05BC1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lastRenderedPageBreak/>
        <w:t>亩用</w:t>
      </w:r>
      <w:proofErr w:type="gramEnd"/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20%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敌草胺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乳油 200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，兑水40-50kg 均匀喷雾，全面封闭土壤，抑制杂草萌发。</w:t>
      </w:r>
    </w:p>
    <w:p w14:paraId="06826F05" w14:textId="40B57FBF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（2）直播油菜田</w:t>
      </w:r>
    </w:p>
    <w:p w14:paraId="54E9CA6A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优先采用喷杆喷雾机地面足量喷雾，保障封闭药膜完整、防效稳定。</w:t>
      </w:r>
    </w:p>
    <w:p w14:paraId="280715CF" w14:textId="3AFD1881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播前封闭：播种前</w:t>
      </w:r>
      <w:r w:rsidR="003E100B">
        <w:rPr>
          <w:rFonts w:ascii="仿宋_GB2312" w:eastAsia="仿宋_GB2312" w:hAnsi="仿宋_GB2312" w:cs="仿宋_GB2312"/>
          <w:kern w:val="0"/>
          <w:sz w:val="30"/>
          <w:szCs w:val="30"/>
        </w:rPr>
        <w:t>2-3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天，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r w:rsidR="003E100B">
        <w:rPr>
          <w:rFonts w:ascii="仿宋_GB2312" w:eastAsia="仿宋_GB2312" w:hAnsi="仿宋_GB2312" w:cs="仿宋_GB2312"/>
          <w:kern w:val="0"/>
          <w:sz w:val="30"/>
          <w:szCs w:val="30"/>
        </w:rPr>
        <w:t>500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克</w:t>
      </w:r>
      <w:proofErr w:type="gramEnd"/>
      <w:r w:rsidR="003E100B">
        <w:rPr>
          <w:rFonts w:ascii="仿宋_GB2312" w:eastAsia="仿宋_GB2312" w:hAnsi="仿宋_GB2312" w:cs="仿宋_GB2312"/>
          <w:kern w:val="0"/>
          <w:sz w:val="30"/>
          <w:szCs w:val="30"/>
        </w:rPr>
        <w:t>/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升</w:t>
      </w:r>
      <w:r w:rsidR="00866EF7" w:rsidRPr="005910CB">
        <w:rPr>
          <w:rFonts w:ascii="仿宋" w:eastAsia="仿宋" w:hAnsi="仿宋" w:cs="仿宋" w:hint="eastAsia"/>
          <w:kern w:val="0"/>
          <w:sz w:val="30"/>
          <w:szCs w:val="30"/>
        </w:rPr>
        <w:t>异</w:t>
      </w:r>
      <w:r w:rsidR="00866EF7">
        <w:rPr>
          <w:rFonts w:ascii="仿宋" w:eastAsia="仿宋" w:hAnsi="仿宋" w:cs="仿宋" w:hint="eastAsia"/>
          <w:kern w:val="0"/>
          <w:sz w:val="30"/>
          <w:szCs w:val="30"/>
        </w:rPr>
        <w:t>松</w:t>
      </w:r>
      <w:proofErr w:type="gramEnd"/>
      <w:r w:rsidR="00866EF7" w:rsidRPr="005910CB">
        <w:rPr>
          <w:rFonts w:ascii="MS Mincho" w:eastAsia="MS Mincho" w:hAnsi="MS Mincho" w:cs="MS Mincho" w:hint="eastAsia"/>
          <w:kern w:val="0"/>
          <w:sz w:val="30"/>
          <w:szCs w:val="30"/>
        </w:rPr>
        <w:t>・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乙草胺</w:t>
      </w:r>
      <w:r w:rsidRPr="005910CB">
        <w:rPr>
          <w:rFonts w:ascii="仿宋" w:eastAsia="仿宋" w:hAnsi="仿宋" w:cs="仿宋" w:hint="eastAsia"/>
          <w:kern w:val="0"/>
          <w:sz w:val="30"/>
          <w:szCs w:val="30"/>
        </w:rPr>
        <w:t>乳油</w:t>
      </w:r>
      <w:r w:rsidRPr="005910CB">
        <w:rPr>
          <w:rFonts w:ascii="仿宋_GB2312" w:eastAsia="仿宋_GB2312" w:hAnsi="仿宋_GB2312" w:cs="仿宋_GB2312"/>
          <w:kern w:val="0"/>
          <w:sz w:val="30"/>
          <w:szCs w:val="30"/>
        </w:rPr>
        <w:t>50</w:t>
      </w:r>
      <w:r w:rsidR="00D57D3B">
        <w:rPr>
          <w:rFonts w:ascii="仿宋_GB2312" w:eastAsia="仿宋_GB2312" w:hAnsi="仿宋_GB2312" w:cs="仿宋_GB2312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，兑水均匀土壤喷雾；</w:t>
      </w:r>
      <w:bookmarkStart w:id="2" w:name="_GoBack"/>
      <w:bookmarkEnd w:id="2"/>
    </w:p>
    <w:p w14:paraId="32DC5CC0" w14:textId="344207FD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播后苗前封闭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：土壤湿润无积水条件下，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 xml:space="preserve">20% 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敌草胺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乳油 200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；或播种当日，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960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克</w:t>
      </w:r>
      <w:proofErr w:type="gramEnd"/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/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升精异丙甲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草胺乳油50-60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="008204D0">
        <w:rPr>
          <w:rFonts w:ascii="仿宋_GB2312" w:eastAsia="仿宋_GB2312" w:hAnsi="仿宋_GB2312" w:cs="仿宋_GB2312" w:hint="eastAsia"/>
          <w:kern w:val="0"/>
          <w:sz w:val="30"/>
          <w:szCs w:val="30"/>
        </w:rPr>
        <w:t>兑水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均匀喷雾。</w:t>
      </w:r>
    </w:p>
    <w:p w14:paraId="4ADEEE38" w14:textId="77777777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2. 苗后选择性补除</w:t>
      </w:r>
    </w:p>
    <w:p w14:paraId="6565A439" w14:textId="68DDB328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抢抓杂草</w:t>
      </w:r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2-4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叶最佳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防除期，直播油菜需在3叶期后施药，避开低温寒潮、阴雨天气，坚持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冷尾暖头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施药。</w:t>
      </w:r>
    </w:p>
    <w:p w14:paraId="3E2CBD54" w14:textId="1D2A95DA" w:rsidR="005910CB" w:rsidRPr="005910CB" w:rsidRDefault="005910CB" w:rsidP="005910CB">
      <w:pPr>
        <w:widowControl/>
        <w:spacing w:line="360" w:lineRule="auto"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禾本科杂草为主田块：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108 克</w:t>
      </w:r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/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升高效氟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吡甲禾灵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乳油 30-40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，或</w:t>
      </w:r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24%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烯草酮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乳油 40</w:t>
      </w:r>
      <w:r w:rsidR="00D57D3B">
        <w:rPr>
          <w:rFonts w:ascii="仿宋_GB2312" w:eastAsia="仿宋_GB2312" w:hAnsi="仿宋_GB2312" w:cs="仿宋_GB2312" w:hint="eastAsia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；阔叶杂草为主田块：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proofErr w:type="gramEnd"/>
      <w:r w:rsidR="003E100B">
        <w:rPr>
          <w:rFonts w:ascii="仿宋_GB2312" w:eastAsia="仿宋_GB2312" w:hAnsi="仿宋_GB2312" w:cs="仿宋_GB2312"/>
          <w:kern w:val="0"/>
          <w:sz w:val="30"/>
          <w:szCs w:val="30"/>
        </w:rPr>
        <w:t>50%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草除灵</w:t>
      </w:r>
      <w:proofErr w:type="gramEnd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悬浮剂</w:t>
      </w:r>
      <w:r w:rsidRPr="005910CB">
        <w:rPr>
          <w:rFonts w:ascii="仿宋_GB2312" w:eastAsia="仿宋_GB2312" w:hAnsi="仿宋_GB2312" w:cs="仿宋_GB2312"/>
          <w:kern w:val="0"/>
          <w:sz w:val="30"/>
          <w:szCs w:val="30"/>
        </w:rPr>
        <w:t>30-40</w:t>
      </w:r>
      <w:r w:rsidR="00D57D3B">
        <w:rPr>
          <w:rFonts w:ascii="仿宋_GB2312" w:eastAsia="仿宋_GB2312" w:hAnsi="仿宋_GB2312" w:cs="仿宋_GB2312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，或</w:t>
      </w:r>
      <w:r w:rsidRPr="005910CB">
        <w:rPr>
          <w:rFonts w:ascii="仿宋_GB2312" w:eastAsia="仿宋_GB2312" w:hAnsi="仿宋_GB2312" w:cs="仿宋_GB2312"/>
          <w:kern w:val="0"/>
          <w:sz w:val="30"/>
          <w:szCs w:val="30"/>
        </w:rPr>
        <w:t xml:space="preserve">30% 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氨氯</w:t>
      </w:r>
      <w:r w:rsidRPr="005910CB">
        <w:rPr>
          <w:rFonts w:ascii="MS Mincho" w:eastAsia="MS Mincho" w:hAnsi="MS Mincho" w:cs="MS Mincho" w:hint="eastAsia"/>
          <w:kern w:val="0"/>
          <w:sz w:val="30"/>
          <w:szCs w:val="30"/>
        </w:rPr>
        <w:t>・</w:t>
      </w:r>
      <w:r w:rsidRPr="005910CB">
        <w:rPr>
          <w:rFonts w:ascii="仿宋" w:eastAsia="仿宋" w:hAnsi="仿宋" w:cs="仿宋" w:hint="eastAsia"/>
          <w:kern w:val="0"/>
          <w:sz w:val="30"/>
          <w:szCs w:val="30"/>
        </w:rPr>
        <w:t>二氯</w:t>
      </w:r>
      <w:proofErr w:type="gramStart"/>
      <w:r w:rsidRPr="005910CB">
        <w:rPr>
          <w:rFonts w:ascii="仿宋" w:eastAsia="仿宋" w:hAnsi="仿宋" w:cs="仿宋" w:hint="eastAsia"/>
          <w:kern w:val="0"/>
          <w:sz w:val="30"/>
          <w:szCs w:val="30"/>
        </w:rPr>
        <w:t>吡</w:t>
      </w:r>
      <w:proofErr w:type="gramEnd"/>
      <w:r w:rsidRPr="005910CB">
        <w:rPr>
          <w:rFonts w:ascii="仿宋" w:eastAsia="仿宋" w:hAnsi="仿宋" w:cs="仿宋" w:hint="eastAsia"/>
          <w:kern w:val="0"/>
          <w:sz w:val="30"/>
          <w:szCs w:val="30"/>
        </w:rPr>
        <w:t>可溶液剂</w:t>
      </w:r>
      <w:r w:rsidRPr="005910CB">
        <w:rPr>
          <w:rFonts w:ascii="仿宋_GB2312" w:eastAsia="仿宋_GB2312" w:hAnsi="仿宋_GB2312" w:cs="仿宋_GB2312"/>
          <w:kern w:val="0"/>
          <w:sz w:val="30"/>
          <w:szCs w:val="30"/>
        </w:rPr>
        <w:t>23-34</w:t>
      </w:r>
      <w:r w:rsidR="00D57D3B">
        <w:rPr>
          <w:rFonts w:ascii="仿宋_GB2312" w:eastAsia="仿宋_GB2312" w:hAnsi="仿宋_GB2312" w:cs="仿宋_GB2312"/>
          <w:kern w:val="0"/>
          <w:sz w:val="30"/>
          <w:szCs w:val="30"/>
        </w:rPr>
        <w:t>毫升</w:t>
      </w:r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；</w:t>
      </w:r>
      <w:proofErr w:type="gramStart"/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禾阔杂草</w:t>
      </w:r>
      <w:proofErr w:type="gramEnd"/>
      <w:r w:rsidR="003E100B">
        <w:rPr>
          <w:rFonts w:ascii="仿宋_GB2312" w:eastAsia="仿宋_GB2312" w:hAnsi="仿宋_GB2312" w:cs="仿宋_GB2312" w:hint="eastAsia"/>
          <w:kern w:val="0"/>
          <w:sz w:val="30"/>
          <w:szCs w:val="30"/>
        </w:rPr>
        <w:t>混生田块:</w:t>
      </w:r>
      <w:proofErr w:type="gramStart"/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亩用</w:t>
      </w:r>
      <w:proofErr w:type="gramEnd"/>
      <w:r w:rsidRPr="005910CB">
        <w:rPr>
          <w:rFonts w:ascii="仿宋_GB2312" w:eastAsia="仿宋_GB2312" w:hAnsi="仿宋_GB2312" w:cs="仿宋_GB2312"/>
          <w:kern w:val="0"/>
          <w:sz w:val="30"/>
          <w:szCs w:val="30"/>
        </w:rPr>
        <w:t xml:space="preserve">17.5% 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草除</w:t>
      </w:r>
      <w:r w:rsidRPr="005910CB">
        <w:rPr>
          <w:rFonts w:ascii="MS Mincho" w:eastAsia="MS Mincho" w:hAnsi="MS Mincho" w:cs="MS Mincho" w:hint="eastAsia"/>
          <w:kern w:val="0"/>
          <w:sz w:val="30"/>
          <w:szCs w:val="30"/>
        </w:rPr>
        <w:t>・</w:t>
      </w:r>
      <w:r w:rsidRPr="005910CB">
        <w:rPr>
          <w:rFonts w:ascii="仿宋" w:eastAsia="仿宋" w:hAnsi="仿宋" w:cs="仿宋" w:hint="eastAsia"/>
          <w:kern w:val="0"/>
          <w:sz w:val="30"/>
          <w:szCs w:val="30"/>
        </w:rPr>
        <w:t>精</w:t>
      </w:r>
      <w:proofErr w:type="gramStart"/>
      <w:r w:rsidRPr="005910CB">
        <w:rPr>
          <w:rFonts w:ascii="仿宋" w:eastAsia="仿宋" w:hAnsi="仿宋" w:cs="仿宋" w:hint="eastAsia"/>
          <w:kern w:val="0"/>
          <w:sz w:val="30"/>
          <w:szCs w:val="30"/>
        </w:rPr>
        <w:t>喹</w:t>
      </w:r>
      <w:proofErr w:type="gramEnd"/>
      <w:r w:rsidRPr="005910CB">
        <w:rPr>
          <w:rFonts w:ascii="仿宋" w:eastAsia="仿宋" w:hAnsi="仿宋" w:cs="仿宋" w:hint="eastAsia"/>
          <w:kern w:val="0"/>
          <w:sz w:val="30"/>
          <w:szCs w:val="30"/>
        </w:rPr>
        <w:t>禾乳油</w:t>
      </w:r>
      <w:r w:rsidRPr="005910CB">
        <w:rPr>
          <w:rFonts w:ascii="仿宋_GB2312" w:eastAsia="仿宋_GB2312" w:hAnsi="仿宋_GB2312" w:cs="仿宋_GB2312"/>
          <w:kern w:val="0"/>
          <w:sz w:val="30"/>
          <w:szCs w:val="30"/>
        </w:rPr>
        <w:t>100-120</w:t>
      </w:r>
      <w:r w:rsidR="00D57D3B">
        <w:rPr>
          <w:rFonts w:ascii="仿宋_GB2312" w:eastAsia="仿宋_GB2312" w:hAnsi="仿宋_GB2312" w:cs="仿宋_GB2312"/>
          <w:kern w:val="0"/>
          <w:sz w:val="30"/>
          <w:szCs w:val="30"/>
        </w:rPr>
        <w:t>毫升</w:t>
      </w:r>
      <w:r w:rsidRPr="005910CB">
        <w:rPr>
          <w:rFonts w:ascii="仿宋_GB2312" w:eastAsia="仿宋_GB2312" w:hAnsi="仿宋_GB2312" w:cs="仿宋_GB2312" w:hint="eastAsia"/>
          <w:kern w:val="0"/>
          <w:sz w:val="30"/>
          <w:szCs w:val="30"/>
        </w:rPr>
        <w:t>。</w:t>
      </w:r>
    </w:p>
    <w:p w14:paraId="16B29D73" w14:textId="57E57FF4" w:rsidR="005910CB" w:rsidRPr="00EC57C1" w:rsidRDefault="00EC57C1" w:rsidP="00EC57C1">
      <w:pPr>
        <w:widowControl/>
        <w:spacing w:line="360" w:lineRule="auto"/>
        <w:ind w:firstLineChars="200" w:firstLine="602"/>
        <w:jc w:val="left"/>
        <w:rPr>
          <w:rFonts w:ascii="仿宋_GB2312" w:eastAsia="仿宋_GB2312" w:hAnsi="仿宋_GB2312" w:cs="仿宋_GB2312"/>
          <w:b/>
          <w:kern w:val="0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>三、</w:t>
      </w:r>
      <w:r w:rsidR="005910CB" w:rsidRPr="00EC57C1">
        <w:rPr>
          <w:rFonts w:ascii="仿宋_GB2312" w:eastAsia="仿宋_GB2312" w:hAnsi="仿宋_GB2312" w:cs="仿宋_GB2312" w:hint="eastAsia"/>
          <w:b/>
          <w:kern w:val="0"/>
          <w:sz w:val="30"/>
          <w:szCs w:val="30"/>
        </w:rPr>
        <w:t>注意事项</w:t>
      </w:r>
    </w:p>
    <w:p w14:paraId="6C6BDC59" w14:textId="77777777" w:rsidR="00A37A74" w:rsidRDefault="0058073A" w:rsidP="0058073A">
      <w:pPr>
        <w:widowControl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1、</w:t>
      </w:r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 绿色生产合</w:t>
      </w:r>
      <w:proofErr w:type="gramStart"/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>规</w:t>
      </w:r>
      <w:proofErr w:type="gramEnd"/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>用药：绿色食品认证基地田块，</w:t>
      </w:r>
      <w:r w:rsidR="00863EDB" w:rsidRPr="00863EDB">
        <w:rPr>
          <w:rFonts w:ascii="仿宋_GB2312" w:eastAsia="仿宋_GB2312" w:hAnsi="仿宋_GB2312" w:cs="仿宋_GB2312"/>
          <w:kern w:val="0"/>
          <w:sz w:val="30"/>
          <w:szCs w:val="30"/>
        </w:rPr>
        <w:t>严格遵循使用准则</w:t>
      </w:r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。 </w:t>
      </w:r>
    </w:p>
    <w:p w14:paraId="5AD040F4" w14:textId="00F12671" w:rsidR="008204D0" w:rsidRPr="008204D0" w:rsidRDefault="0058073A" w:rsidP="0058073A">
      <w:pPr>
        <w:widowControl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>
        <w:rPr>
          <w:rFonts w:ascii="仿宋_GB2312" w:eastAsia="仿宋_GB2312" w:hAnsi="仿宋_GB2312" w:cs="仿宋_GB2312"/>
          <w:kern w:val="0"/>
          <w:sz w:val="30"/>
          <w:szCs w:val="30"/>
        </w:rPr>
        <w:lastRenderedPageBreak/>
        <w:t xml:space="preserve"> 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2、</w:t>
      </w:r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 严控药量规范喷雾：严格按照推荐剂量用药，不随意加量、</w:t>
      </w:r>
      <w:proofErr w:type="gramStart"/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>乱混配</w:t>
      </w:r>
      <w:proofErr w:type="gramEnd"/>
      <w:r w:rsidR="008204D0"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；喷雾匀速均匀，杜绝重喷、漏喷，规避药害和防效不均 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。</w:t>
      </w:r>
    </w:p>
    <w:p w14:paraId="0258ABFB" w14:textId="7CECB10B" w:rsidR="008204D0" w:rsidRPr="008204D0" w:rsidRDefault="008204D0" w:rsidP="008204D0">
      <w:pPr>
        <w:widowControl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  </w:t>
      </w:r>
      <w:r w:rsidR="0058073A">
        <w:rPr>
          <w:rFonts w:ascii="仿宋_GB2312" w:eastAsia="仿宋_GB2312" w:hAnsi="仿宋_GB2312" w:cs="仿宋_GB2312" w:hint="eastAsia"/>
          <w:kern w:val="0"/>
          <w:sz w:val="30"/>
          <w:szCs w:val="30"/>
        </w:rPr>
        <w:t>3、</w:t>
      </w:r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规范施药用水量</w:t>
      </w:r>
      <w:r w:rsidR="0058073A">
        <w:rPr>
          <w:rFonts w:ascii="仿宋_GB2312" w:eastAsia="仿宋_GB2312" w:hAnsi="仿宋_GB2312" w:cs="仿宋_GB2312"/>
          <w:kern w:val="0"/>
          <w:sz w:val="30"/>
          <w:szCs w:val="30"/>
        </w:rPr>
        <w:t>：</w:t>
      </w:r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担架式、喷杆</w:t>
      </w:r>
      <w:r w:rsidR="00C64659">
        <w:rPr>
          <w:rFonts w:ascii="仿宋_GB2312" w:eastAsia="仿宋_GB2312" w:hAnsi="仿宋_GB2312" w:cs="仿宋_GB2312" w:hint="eastAsia"/>
          <w:kern w:val="0"/>
          <w:sz w:val="30"/>
          <w:szCs w:val="30"/>
        </w:rPr>
        <w:t>式</w:t>
      </w:r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喷雾机施药，亩用水量 30-40 升，确保药液足量、均匀覆盖；植保无人机</w:t>
      </w:r>
      <w:proofErr w:type="gramStart"/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飞防严格</w:t>
      </w:r>
      <w:proofErr w:type="gramEnd"/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控制亩喷液量 2-4 升，建议添加</w:t>
      </w:r>
      <w:proofErr w:type="gramStart"/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专用飞防助剂</w:t>
      </w:r>
      <w:proofErr w:type="gramEnd"/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，提升药液附着性与防效。 </w:t>
      </w:r>
    </w:p>
    <w:p w14:paraId="6AC1B19F" w14:textId="77777777" w:rsidR="0058073A" w:rsidRDefault="008204D0" w:rsidP="0058073A">
      <w:pPr>
        <w:widowControl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 xml:space="preserve">  </w:t>
      </w:r>
      <w:r w:rsidR="0058073A">
        <w:rPr>
          <w:rFonts w:ascii="仿宋_GB2312" w:eastAsia="仿宋_GB2312" w:hAnsi="仿宋_GB2312" w:cs="仿宋_GB2312" w:hint="eastAsia"/>
          <w:kern w:val="0"/>
          <w:sz w:val="30"/>
          <w:szCs w:val="30"/>
        </w:rPr>
        <w:t>4、</w:t>
      </w:r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严防漂移药害风险：无人机施药严禁低空悬停、重复作业，避免局部药量过大产生药害；田块周边毗邻河塘、水产养殖区、莲藕等敏感作物区域，禁止</w:t>
      </w:r>
      <w:proofErr w:type="gramStart"/>
      <w:r w:rsidRPr="008204D0">
        <w:rPr>
          <w:rFonts w:ascii="仿宋_GB2312" w:eastAsia="仿宋_GB2312" w:hAnsi="仿宋_GB2312" w:cs="仿宋_GB2312"/>
          <w:kern w:val="0"/>
          <w:sz w:val="30"/>
          <w:szCs w:val="30"/>
        </w:rPr>
        <w:t>开展飞防作业</w:t>
      </w:r>
      <w:proofErr w:type="gramEnd"/>
      <w:r w:rsidR="0058073A">
        <w:rPr>
          <w:rFonts w:ascii="仿宋_GB2312" w:eastAsia="仿宋_GB2312" w:hAnsi="仿宋_GB2312" w:cs="仿宋_GB2312"/>
          <w:kern w:val="0"/>
          <w:sz w:val="30"/>
          <w:szCs w:val="30"/>
        </w:rPr>
        <w:t>，严防药液漂移造成次生危害</w:t>
      </w:r>
      <w:r w:rsidR="0058073A">
        <w:rPr>
          <w:rFonts w:ascii="仿宋_GB2312" w:eastAsia="仿宋_GB2312" w:hAnsi="仿宋_GB2312" w:cs="仿宋_GB2312" w:hint="eastAsia"/>
          <w:kern w:val="0"/>
          <w:sz w:val="30"/>
          <w:szCs w:val="30"/>
        </w:rPr>
        <w:t>。</w:t>
      </w:r>
    </w:p>
    <w:p w14:paraId="274ACD98" w14:textId="23C81F3E" w:rsidR="00E44BB7" w:rsidRPr="0058073A" w:rsidRDefault="0058073A" w:rsidP="0058073A">
      <w:pPr>
        <w:widowControl/>
        <w:ind w:firstLineChars="200" w:firstLine="600"/>
        <w:jc w:val="left"/>
        <w:rPr>
          <w:rFonts w:ascii="仿宋_GB2312" w:eastAsia="仿宋_GB2312" w:hAnsi="仿宋_GB2312" w:cs="仿宋_GB2312"/>
          <w:kern w:val="0"/>
          <w:sz w:val="30"/>
          <w:szCs w:val="30"/>
        </w:rPr>
      </w:pPr>
      <w:r>
        <w:rPr>
          <w:rFonts w:ascii="仿宋_GB2312" w:eastAsia="仿宋_GB2312" w:hAnsi="仿宋_GB2312" w:cs="仿宋_GB2312" w:hint="eastAsia"/>
          <w:kern w:val="0"/>
          <w:sz w:val="30"/>
          <w:szCs w:val="30"/>
        </w:rPr>
        <w:t>5、</w:t>
      </w:r>
      <w:r w:rsidR="008204D0" w:rsidRPr="0058073A">
        <w:rPr>
          <w:rFonts w:ascii="仿宋_GB2312" w:eastAsia="仿宋_GB2312" w:hAnsi="仿宋_GB2312" w:cs="仿宋_GB2312"/>
          <w:kern w:val="0"/>
          <w:sz w:val="30"/>
          <w:szCs w:val="30"/>
        </w:rPr>
        <w:t xml:space="preserve"> 适期安全施药：低温寒潮、阴雨积水、油菜弱苗田块谨慎施药，优先选择晴暖无风天气开展化除作业。</w:t>
      </w:r>
    </w:p>
    <w:sectPr w:rsidR="00E44BB7" w:rsidRPr="0058073A" w:rsidSect="00420BA3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0B238" w14:textId="77777777" w:rsidR="001926FC" w:rsidRDefault="001926FC" w:rsidP="00B9084A">
      <w:r>
        <w:separator/>
      </w:r>
    </w:p>
  </w:endnote>
  <w:endnote w:type="continuationSeparator" w:id="0">
    <w:p w14:paraId="381341E3" w14:textId="77777777" w:rsidR="001926FC" w:rsidRDefault="001926FC" w:rsidP="00B9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?????">
    <w:altName w:val="Arabic Typesetting"/>
    <w:charset w:val="00"/>
    <w:family w:val="script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3EADC7" w14:textId="77777777" w:rsidR="001926FC" w:rsidRDefault="001926FC" w:rsidP="00B9084A">
      <w:r>
        <w:separator/>
      </w:r>
    </w:p>
  </w:footnote>
  <w:footnote w:type="continuationSeparator" w:id="0">
    <w:p w14:paraId="4FDE1CF6" w14:textId="77777777" w:rsidR="001926FC" w:rsidRDefault="001926FC" w:rsidP="00B90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5F9D"/>
    <w:multiLevelType w:val="multilevel"/>
    <w:tmpl w:val="014F5F9D"/>
    <w:lvl w:ilvl="0">
      <w:start w:val="2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A132C0"/>
    <w:multiLevelType w:val="hybridMultilevel"/>
    <w:tmpl w:val="0D92007C"/>
    <w:lvl w:ilvl="0" w:tplc="0B7E524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4F2B7B"/>
    <w:multiLevelType w:val="hybridMultilevel"/>
    <w:tmpl w:val="DCA6865C"/>
    <w:lvl w:ilvl="0" w:tplc="1886211A">
      <w:start w:val="1"/>
      <w:numFmt w:val="decimal"/>
      <w:lvlText w:val="%1、"/>
      <w:lvlJc w:val="left"/>
      <w:pPr>
        <w:ind w:left="1320" w:hanging="720"/>
      </w:pPr>
      <w:rPr>
        <w:rFonts w:ascii="仿宋_GB2312" w:eastAsia="仿宋_GB2312" w:hAnsi="仿宋_GB2312" w:cs="仿宋_GB2312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2C9C1F78"/>
    <w:multiLevelType w:val="multilevel"/>
    <w:tmpl w:val="F7925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B329C8"/>
    <w:multiLevelType w:val="hybridMultilevel"/>
    <w:tmpl w:val="7C96F608"/>
    <w:lvl w:ilvl="0" w:tplc="FA7872FA">
      <w:start w:val="1"/>
      <w:numFmt w:val="decimal"/>
      <w:lvlText w:val="（%1）"/>
      <w:lvlJc w:val="left"/>
      <w:pPr>
        <w:ind w:left="1935" w:hanging="13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6BA14A64"/>
    <w:multiLevelType w:val="hybridMultilevel"/>
    <w:tmpl w:val="92AC6140"/>
    <w:lvl w:ilvl="0" w:tplc="32565DF2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6">
    <w:nsid w:val="78AF341F"/>
    <w:multiLevelType w:val="multilevel"/>
    <w:tmpl w:val="6A62A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5ZTkxZmIwZmZjMWNkN2Q5NzFlMjExNDgxY2Q3MjkifQ=="/>
  </w:docVars>
  <w:rsids>
    <w:rsidRoot w:val="00165DF1"/>
    <w:rsid w:val="B7DB2937"/>
    <w:rsid w:val="BDF80CDC"/>
    <w:rsid w:val="BEDF4CB3"/>
    <w:rsid w:val="BFDED9DA"/>
    <w:rsid w:val="D1EFE2D0"/>
    <w:rsid w:val="D7B744B2"/>
    <w:rsid w:val="DD53BFB9"/>
    <w:rsid w:val="DF7F2FBD"/>
    <w:rsid w:val="DFE76CA8"/>
    <w:rsid w:val="DFFF14A2"/>
    <w:rsid w:val="E8FF30C8"/>
    <w:rsid w:val="ECD02C99"/>
    <w:rsid w:val="EDF574CD"/>
    <w:rsid w:val="EFB389F3"/>
    <w:rsid w:val="F5EFA9F0"/>
    <w:rsid w:val="F6DF094F"/>
    <w:rsid w:val="F7F7DA0F"/>
    <w:rsid w:val="FD252945"/>
    <w:rsid w:val="FD9E339D"/>
    <w:rsid w:val="FF87C3B5"/>
    <w:rsid w:val="FFE35FAB"/>
    <w:rsid w:val="FFF72FFD"/>
    <w:rsid w:val="000243BD"/>
    <w:rsid w:val="000249D8"/>
    <w:rsid w:val="000937E2"/>
    <w:rsid w:val="000C34AF"/>
    <w:rsid w:val="000F5767"/>
    <w:rsid w:val="001004B9"/>
    <w:rsid w:val="00114046"/>
    <w:rsid w:val="00123D9B"/>
    <w:rsid w:val="001247C9"/>
    <w:rsid w:val="00154B8B"/>
    <w:rsid w:val="001605A2"/>
    <w:rsid w:val="00165DF1"/>
    <w:rsid w:val="00167B64"/>
    <w:rsid w:val="00177459"/>
    <w:rsid w:val="001926FC"/>
    <w:rsid w:val="001A2BE5"/>
    <w:rsid w:val="001B1BCE"/>
    <w:rsid w:val="001B4B9C"/>
    <w:rsid w:val="001E6956"/>
    <w:rsid w:val="00211CBA"/>
    <w:rsid w:val="0022000F"/>
    <w:rsid w:val="00230A8A"/>
    <w:rsid w:val="00237A56"/>
    <w:rsid w:val="00253827"/>
    <w:rsid w:val="00257479"/>
    <w:rsid w:val="002A7B1B"/>
    <w:rsid w:val="002B1B88"/>
    <w:rsid w:val="002E41FC"/>
    <w:rsid w:val="002F393B"/>
    <w:rsid w:val="003108D7"/>
    <w:rsid w:val="0036092C"/>
    <w:rsid w:val="00375F5F"/>
    <w:rsid w:val="003828CD"/>
    <w:rsid w:val="0038522A"/>
    <w:rsid w:val="00385E8A"/>
    <w:rsid w:val="003949B1"/>
    <w:rsid w:val="003957B5"/>
    <w:rsid w:val="00396F46"/>
    <w:rsid w:val="003A2831"/>
    <w:rsid w:val="003B692E"/>
    <w:rsid w:val="003B757B"/>
    <w:rsid w:val="003E100B"/>
    <w:rsid w:val="0040382A"/>
    <w:rsid w:val="00403F05"/>
    <w:rsid w:val="00420BA3"/>
    <w:rsid w:val="00424F3B"/>
    <w:rsid w:val="00440DCA"/>
    <w:rsid w:val="004656AF"/>
    <w:rsid w:val="00477B31"/>
    <w:rsid w:val="004D2D70"/>
    <w:rsid w:val="005032DF"/>
    <w:rsid w:val="005309C8"/>
    <w:rsid w:val="00544CE6"/>
    <w:rsid w:val="00563CD6"/>
    <w:rsid w:val="00573EDC"/>
    <w:rsid w:val="00574DA5"/>
    <w:rsid w:val="0058073A"/>
    <w:rsid w:val="005910CB"/>
    <w:rsid w:val="005A02D5"/>
    <w:rsid w:val="005C01DD"/>
    <w:rsid w:val="0063302D"/>
    <w:rsid w:val="006414E8"/>
    <w:rsid w:val="0064421C"/>
    <w:rsid w:val="00646B4A"/>
    <w:rsid w:val="00657907"/>
    <w:rsid w:val="0066513E"/>
    <w:rsid w:val="00665F3E"/>
    <w:rsid w:val="006743A8"/>
    <w:rsid w:val="00684D91"/>
    <w:rsid w:val="0069520B"/>
    <w:rsid w:val="006C2574"/>
    <w:rsid w:val="006E7B93"/>
    <w:rsid w:val="0073180A"/>
    <w:rsid w:val="007572BB"/>
    <w:rsid w:val="007578BD"/>
    <w:rsid w:val="007A1535"/>
    <w:rsid w:val="007B63EE"/>
    <w:rsid w:val="007B7200"/>
    <w:rsid w:val="007F2595"/>
    <w:rsid w:val="008204D0"/>
    <w:rsid w:val="00833744"/>
    <w:rsid w:val="00845CDA"/>
    <w:rsid w:val="00863EDB"/>
    <w:rsid w:val="00866EF7"/>
    <w:rsid w:val="00884E10"/>
    <w:rsid w:val="008A7A89"/>
    <w:rsid w:val="008D2656"/>
    <w:rsid w:val="008E3929"/>
    <w:rsid w:val="009071C1"/>
    <w:rsid w:val="00922D3D"/>
    <w:rsid w:val="00933358"/>
    <w:rsid w:val="009960FD"/>
    <w:rsid w:val="009B46A4"/>
    <w:rsid w:val="009C5603"/>
    <w:rsid w:val="00A0692A"/>
    <w:rsid w:val="00A06EAA"/>
    <w:rsid w:val="00A1021B"/>
    <w:rsid w:val="00A11172"/>
    <w:rsid w:val="00A11BE4"/>
    <w:rsid w:val="00A37A74"/>
    <w:rsid w:val="00A415CD"/>
    <w:rsid w:val="00A419E3"/>
    <w:rsid w:val="00A438E3"/>
    <w:rsid w:val="00A806C4"/>
    <w:rsid w:val="00AA2575"/>
    <w:rsid w:val="00AC3C8A"/>
    <w:rsid w:val="00AC7DDB"/>
    <w:rsid w:val="00AE28A4"/>
    <w:rsid w:val="00B05A7D"/>
    <w:rsid w:val="00B33C91"/>
    <w:rsid w:val="00B33CAE"/>
    <w:rsid w:val="00B50640"/>
    <w:rsid w:val="00B9084A"/>
    <w:rsid w:val="00B95BAE"/>
    <w:rsid w:val="00BB22E3"/>
    <w:rsid w:val="00BB5585"/>
    <w:rsid w:val="00BB7341"/>
    <w:rsid w:val="00BF084F"/>
    <w:rsid w:val="00C063AB"/>
    <w:rsid w:val="00C128B6"/>
    <w:rsid w:val="00C35D07"/>
    <w:rsid w:val="00C45566"/>
    <w:rsid w:val="00C551E9"/>
    <w:rsid w:val="00C64659"/>
    <w:rsid w:val="00C655AB"/>
    <w:rsid w:val="00CA3054"/>
    <w:rsid w:val="00CA4AA5"/>
    <w:rsid w:val="00CB2B7B"/>
    <w:rsid w:val="00CC5609"/>
    <w:rsid w:val="00D051F5"/>
    <w:rsid w:val="00D13C3D"/>
    <w:rsid w:val="00D57D3B"/>
    <w:rsid w:val="00D74112"/>
    <w:rsid w:val="00D75E49"/>
    <w:rsid w:val="00D80466"/>
    <w:rsid w:val="00D84335"/>
    <w:rsid w:val="00DC2167"/>
    <w:rsid w:val="00DD2B40"/>
    <w:rsid w:val="00DF09FB"/>
    <w:rsid w:val="00E137E0"/>
    <w:rsid w:val="00E44BB7"/>
    <w:rsid w:val="00EB1A73"/>
    <w:rsid w:val="00EC500D"/>
    <w:rsid w:val="00EC57C1"/>
    <w:rsid w:val="00EF218F"/>
    <w:rsid w:val="00F944AE"/>
    <w:rsid w:val="00FA5540"/>
    <w:rsid w:val="00FD32A1"/>
    <w:rsid w:val="00FD526D"/>
    <w:rsid w:val="1FFBC5EC"/>
    <w:rsid w:val="2AE66FE6"/>
    <w:rsid w:val="2B536D9F"/>
    <w:rsid w:val="2DC9932F"/>
    <w:rsid w:val="36CF9F53"/>
    <w:rsid w:val="3AB70589"/>
    <w:rsid w:val="3FF6F314"/>
    <w:rsid w:val="57D281BE"/>
    <w:rsid w:val="5B5EE62E"/>
    <w:rsid w:val="5CED2659"/>
    <w:rsid w:val="5FCE342A"/>
    <w:rsid w:val="65F9CDBE"/>
    <w:rsid w:val="6AF77B4D"/>
    <w:rsid w:val="6DFF2693"/>
    <w:rsid w:val="6ECB05F8"/>
    <w:rsid w:val="77BB0ADB"/>
    <w:rsid w:val="77D4A7F1"/>
    <w:rsid w:val="7A8E68B8"/>
    <w:rsid w:val="7BEA3596"/>
    <w:rsid w:val="7CB692C6"/>
    <w:rsid w:val="7D6EBAE1"/>
    <w:rsid w:val="7DDFADDD"/>
    <w:rsid w:val="7E8ABEBC"/>
    <w:rsid w:val="7FBB54BB"/>
    <w:rsid w:val="7FF78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??" w:hAnsi="??" w:cs="??"/>
      <w:kern w:val="0"/>
      <w:sz w:val="24"/>
      <w:szCs w:val="24"/>
    </w:rPr>
  </w:style>
  <w:style w:type="character" w:styleId="a6">
    <w:name w:val="Strong"/>
    <w:basedOn w:val="a0"/>
    <w:uiPriority w:val="99"/>
    <w:qFormat/>
    <w:rPr>
      <w:rFonts w:cs="Times New Roman"/>
      <w:b/>
      <w:bCs/>
    </w:rPr>
  </w:style>
  <w:style w:type="character" w:customStyle="1" w:styleId="Char">
    <w:name w:val="页脚 Char"/>
    <w:basedOn w:val="a0"/>
    <w:link w:val="a3"/>
    <w:uiPriority w:val="99"/>
    <w:qFormat/>
    <w:locked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??" w:hAnsi="??" w:cs="??"/>
      <w:kern w:val="0"/>
      <w:sz w:val="24"/>
      <w:szCs w:val="24"/>
    </w:rPr>
  </w:style>
  <w:style w:type="character" w:styleId="a6">
    <w:name w:val="Strong"/>
    <w:basedOn w:val="a0"/>
    <w:uiPriority w:val="99"/>
    <w:qFormat/>
    <w:rPr>
      <w:rFonts w:cs="Times New Roman"/>
      <w:b/>
      <w:bCs/>
    </w:rPr>
  </w:style>
  <w:style w:type="character" w:customStyle="1" w:styleId="Char">
    <w:name w:val="页脚 Char"/>
    <w:basedOn w:val="a0"/>
    <w:link w:val="a3"/>
    <w:uiPriority w:val="99"/>
    <w:qFormat/>
    <w:locked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722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4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8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4</Pages>
  <Words>250</Words>
  <Characters>1429</Characters>
  <Application>Microsoft Office Word</Application>
  <DocSecurity>0</DocSecurity>
  <Lines>11</Lines>
  <Paragraphs>3</Paragraphs>
  <ScaleCrop>false</ScaleCrop>
  <Company>Microsoft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 物 病 虫 情 报</dc:title>
  <dc:creator>user</dc:creator>
  <cp:lastModifiedBy>user</cp:lastModifiedBy>
  <cp:revision>134</cp:revision>
  <dcterms:created xsi:type="dcterms:W3CDTF">2026-10-09T07:47:00Z</dcterms:created>
  <dcterms:modified xsi:type="dcterms:W3CDTF">2026-10-10T08:52:00Z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2052-12.9.0.18469</vt:lpwstr>
  </property>
  <property fmtid="{D5CDD505-2E9C-101B-9397-08002B2CF9AE}" pid="3" name="ICV">
    <vt:lpwstr>A91ADF12ED402D01C8F3066814E57FA7_43</vt:lpwstr>
  </property>
</Properties>
</file>