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奉贤区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秋播主要作物生产技术意见</w:t>
      </w:r>
    </w:p>
    <w:p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640" w:firstLineChars="200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当前我区单季晚稻临近大面积收获，切实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抓好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今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“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三秋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”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工作，是确保完成</w:t>
      </w:r>
      <w:r>
        <w:rPr>
          <w:rFonts w:hint="eastAsia" w:ascii="仿宋_GB2312" w:hAnsi="黑体" w:eastAsia="仿宋_GB2312"/>
          <w:color w:val="000000"/>
          <w:sz w:val="32"/>
          <w:szCs w:val="32"/>
          <w:lang w:eastAsia="zh-CN"/>
        </w:rPr>
        <w:t>全年粮食生产任务和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明年农业生产总体目标的关键举措，对明年农业生产开好头、起好步具有重要意义。为全面落实市农业农村委部署，保障“三秋”工作顺利收官，现就202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年秋播提出如下技术意见：</w:t>
      </w:r>
    </w:p>
    <w:p>
      <w:pPr>
        <w:suppressAutoHyphens/>
        <w:adjustRightInd w:val="0"/>
        <w:snapToGrid w:val="0"/>
        <w:spacing w:line="600" w:lineRule="exact"/>
        <w:ind w:firstLine="640" w:firstLineChars="200"/>
        <w:rPr>
          <w:rFonts w:hint="eastAsia" w:ascii="仿宋_GB2312" w:hAnsi="黑体" w:eastAsia="仿宋_GB2312"/>
          <w:color w:val="00000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推进绿色高产高效行动，深化现代耕作制度改革​</w:t>
      </w:r>
    </w:p>
    <w:p>
      <w:pPr>
        <w:spacing w:line="600" w:lineRule="exact"/>
        <w:ind w:firstLine="640" w:firstLineChars="200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一是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科学优化种植布局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充分利用冬闲田资源，大力推广稻肥、稻油、稻菜、稻菇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、稻经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等高品质、高效益轮作模式。通过连片规范化布局与科学化种植，构建优良耕作制度，切实提高土地产出率与资源利用率。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二是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深入开展绿色高产高效行动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。提高夏粮机械化种植水平，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助力粮食大面积单产提升。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指导农户选择高产、抗病抗逆性强的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秋冬种作物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，降低秋冬种作物种植风险，提高种植效益。</w:t>
      </w:r>
    </w:p>
    <w:p>
      <w:pPr>
        <w:suppressAutoHyphens/>
        <w:adjustRightInd w:val="0"/>
        <w:snapToGrid w:val="0"/>
        <w:spacing w:line="600" w:lineRule="exact"/>
        <w:ind w:firstLine="640" w:firstLineChars="200"/>
        <w:rPr>
          <w:rFonts w:hint="eastAsia" w:eastAsia="黑体"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</w:rPr>
        <w:t>二、</w:t>
      </w: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提升秸秆还田质量，拓宽离田利用渠道​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/>
          <w:color w:val="000000"/>
          <w:sz w:val="32"/>
          <w:szCs w:val="32"/>
        </w:rPr>
      </w:pP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秸秆还田是增加土壤有机质、改善土壤环境、提升土壤肥力的重要手段，实施过程中需严格把控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好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关键技术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  <w:r>
        <w:rPr>
          <w:rFonts w:hint="default" w:ascii="仿宋_GB2312" w:hAnsi="黑体" w:eastAsia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对秸秆进行充分粉碎或切断处理，并确保均匀抛撒；</w:t>
      </w:r>
      <w:r>
        <w:rPr>
          <w:rFonts w:hint="default" w:ascii="仿宋_GB2312" w:hAnsi="黑体" w:eastAsia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采用深耕翻埋方式，耕翻深度需达到15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厘米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以上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有条件的区域优先采用犁翻还田方式，进一步提升还田质量；</w:t>
      </w:r>
      <w:r>
        <w:rPr>
          <w:rFonts w:hint="default" w:ascii="仿宋_GB2312" w:hAnsi="黑体" w:eastAsia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黑体" w:eastAsia="仿宋_GB2312"/>
          <w:b/>
          <w:bCs/>
          <w:sz w:val="32"/>
          <w:szCs w:val="32"/>
          <w:lang w:val="en-US" w:eastAsia="zh-CN"/>
        </w:rPr>
        <w:t>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把握耕翻时机与土壤墒情，避免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“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迟耕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”“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烂耕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”，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水稻收获后，需结合土壤墒情及时开展耕翻作业，最迟不得超过1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月中旬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同时，积极推进水稻秸秆离田多元化利用，通过饲料化、基料化、能源化等途径，拓宽秸秆利用渠道，提高秸秆离田利用率。​</w:t>
      </w:r>
    </w:p>
    <w:p>
      <w:pPr>
        <w:spacing w:line="600" w:lineRule="exact"/>
        <w:ind w:firstLine="640" w:firstLineChars="200"/>
        <w:rPr>
          <w:rFonts w:hint="default" w:ascii="仿宋_GB2312" w:hAnsi="黑体" w:eastAsia="仿宋_GB2312"/>
          <w:sz w:val="32"/>
          <w:szCs w:val="32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三、强化沟系配套建设，落实精细化田间管理​</w:t>
      </w:r>
    </w:p>
    <w:p>
      <w:pPr>
        <w:spacing w:line="600" w:lineRule="exact"/>
        <w:ind w:firstLine="640" w:firstLineChars="200"/>
        <w:rPr>
          <w:rFonts w:hint="default" w:ascii="仿宋_GB2312" w:hAnsi="黑体" w:eastAsia="仿宋_GB2312"/>
          <w:sz w:val="32"/>
          <w:szCs w:val="32"/>
        </w:rPr>
      </w:pP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绿肥、油菜等秋播作物对土壤水分敏感，耐湿性较差，各生育阶段若遭遇淹水，将对产量造成较大影响。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我区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地下水位较高，且秋、春两季连阴雨天气多发，各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街镇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农业部门需将沟系配套作为重点工作，全面落实各项田间管理措施，增强作物抗灾能力，为丰收筑牢基础。​</w:t>
      </w:r>
    </w:p>
    <w:p>
      <w:pPr>
        <w:pStyle w:val="9"/>
        <w:widowControl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rPr>
          <w:rFonts w:hint="eastAsia" w:ascii="仿宋_GB2312" w:hAnsi="黑体" w:eastAsia="仿宋_GB2312"/>
          <w:sz w:val="32"/>
          <w:szCs w:val="32"/>
        </w:rPr>
      </w:pP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播种结束后（水稻收割完成后），需抓住晴好天气，结合覆土作业及时开沟；若遇连续阴雨天气，应优先抢开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“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十字沟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”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，待土壤墒情适宜后，再完善配套沟系。沟系建设需达到以下标准：畦沟深30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厘米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以上、外围沟深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厘米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以上。冬、春两季需加强沟系清理维护，实现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“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一块田，两头出水，三沟通畅，四面腾空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”，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确保雨停后畦面无积水、沟内无明水。</w:t>
      </w:r>
    </w:p>
    <w:p>
      <w:pPr>
        <w:spacing w:line="600" w:lineRule="exact"/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四、扩大技术培训覆盖面，强化精准化技术指导​</w:t>
      </w:r>
    </w:p>
    <w:p>
      <w:pPr>
        <w:spacing w:line="600" w:lineRule="exact"/>
        <w:ind w:firstLine="640" w:firstLineChars="200"/>
        <w:rPr>
          <w:rFonts w:hint="default" w:ascii="仿宋_GB2312" w:hAnsi="黑体" w:eastAsia="仿宋_GB2312"/>
          <w:sz w:val="32"/>
          <w:szCs w:val="32"/>
        </w:rPr>
      </w:pP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各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街镇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农业部门需充分发挥网络媒体优势，通过线上线下相结合的形式，广泛开展秋播技术培训与宣传工作。培训内容需突出主推技术，强化技术集成与配套应用，确保秋播各项关键技术措施精准落地，提高技术普及到位率，引导农户科学开展种植作业。​</w:t>
      </w:r>
    </w:p>
    <w:p>
      <w:pPr>
        <w:spacing w:line="600" w:lineRule="exact"/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五、完善防灾减灾应急预案，提升灾害应对能力​</w:t>
      </w:r>
    </w:p>
    <w:p>
      <w:pPr>
        <w:spacing w:line="600" w:lineRule="exact"/>
        <w:ind w:firstLine="640" w:firstLineChars="200"/>
        <w:rPr>
          <w:rFonts w:hint="default" w:ascii="仿宋_GB2312" w:hAnsi="黑体" w:eastAsia="仿宋_GB2312"/>
          <w:sz w:val="32"/>
          <w:szCs w:val="32"/>
        </w:rPr>
      </w:pP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近年来气候波动加剧，秋播期间可能遭遇连阴雨天气，冬季易出现极端低温冻害，春季则面临倒春寒风险。各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街镇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农业部门需密切关注苗情动态与天气变化，提前制定针对性防灾减灾应急预案，不断提升灾害预警与应对能力，切实做好防灾减灾工作，最大程度降低灾害损失。</w:t>
      </w:r>
    </w:p>
    <w:p>
      <w:pPr>
        <w:suppressAutoHyphens/>
        <w:adjustRightInd w:val="0"/>
        <w:snapToGrid w:val="0"/>
        <w:spacing w:line="600" w:lineRule="exact"/>
        <w:rPr>
          <w:rFonts w:hint="eastAsia" w:eastAsia="黑体"/>
          <w:kern w:val="0"/>
          <w:sz w:val="32"/>
          <w:szCs w:val="32"/>
        </w:rPr>
      </w:pPr>
    </w:p>
    <w:p>
      <w:pPr>
        <w:suppressAutoHyphens/>
        <w:adjustRightInd w:val="0"/>
        <w:snapToGrid w:val="0"/>
        <w:spacing w:line="600" w:lineRule="exact"/>
        <w:ind w:firstLine="640" w:firstLineChars="200"/>
        <w:rPr>
          <w:rFonts w:hint="eastAsia" w:eastAsia="黑体"/>
          <w:kern w:val="0"/>
          <w:sz w:val="32"/>
          <w:szCs w:val="32"/>
        </w:rPr>
      </w:pPr>
    </w:p>
    <w:p>
      <w:pPr>
        <w:spacing w:line="600" w:lineRule="exact"/>
        <w:ind w:firstLine="482" w:firstLineChars="150"/>
        <w:rPr>
          <w:rFonts w:hint="eastAsia" w:ascii="仿宋_GB2312" w:eastAsia="仿宋_GB2312"/>
          <w:b/>
          <w:sz w:val="32"/>
          <w:szCs w:val="32"/>
        </w:rPr>
      </w:pPr>
    </w:p>
    <w:p>
      <w:pPr>
        <w:spacing w:line="360" w:lineRule="auto"/>
        <w:jc w:val="righ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</w:rPr>
        <w:t xml:space="preserve">                   </w:t>
      </w:r>
      <w:r>
        <w:rPr>
          <w:rFonts w:hint="eastAsia" w:ascii="仿宋_GB2312" w:hAnsi="黑体" w:eastAsia="仿宋_GB2312"/>
          <w:sz w:val="32"/>
          <w:szCs w:val="32"/>
        </w:rPr>
        <w:t>上海市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奉贤区</w:t>
      </w:r>
      <w:r>
        <w:rPr>
          <w:rFonts w:hint="eastAsia" w:ascii="仿宋_GB2312" w:hAnsi="黑体" w:eastAsia="仿宋_GB2312"/>
          <w:sz w:val="32"/>
          <w:szCs w:val="32"/>
        </w:rPr>
        <w:t>农业技术推广中心</w:t>
      </w:r>
    </w:p>
    <w:p>
      <w:pPr>
        <w:wordWrap w:val="0"/>
        <w:spacing w:line="600" w:lineRule="exact"/>
        <w:ind w:firstLine="480" w:firstLineChars="150"/>
        <w:jc w:val="right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</w:rPr>
        <w:t xml:space="preserve"> </w:t>
      </w:r>
      <w:r>
        <w:rPr>
          <w:rFonts w:hint="eastAsia" w:ascii="微软雅黑" w:hAnsi="微软雅黑" w:eastAsia="微软雅黑"/>
          <w:color w:val="333333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2026年10月    </w:t>
      </w:r>
    </w:p>
    <w:p>
      <w:pPr>
        <w:spacing w:line="600" w:lineRule="exact"/>
        <w:ind w:firstLine="480" w:firstLineChars="150"/>
        <w:rPr>
          <w:rFonts w:hint="eastAsia" w:ascii="仿宋_GB2312" w:hAnsi="黑体" w:eastAsia="仿宋_GB2312"/>
          <w:sz w:val="32"/>
          <w:szCs w:val="32"/>
        </w:rPr>
      </w:pPr>
    </w:p>
    <w:p>
      <w:pPr>
        <w:spacing w:line="600" w:lineRule="exact"/>
        <w:ind w:firstLine="480" w:firstLineChars="150"/>
        <w:rPr>
          <w:rFonts w:hint="eastAsia" w:ascii="仿宋_GB2312" w:hAnsi="黑体" w:eastAsia="仿宋_GB2312"/>
          <w:sz w:val="32"/>
          <w:szCs w:val="32"/>
        </w:rPr>
      </w:pPr>
    </w:p>
    <w:p>
      <w:pPr>
        <w:spacing w:line="560" w:lineRule="exact"/>
        <w:ind w:firstLine="452" w:firstLineChars="150"/>
        <w:rPr>
          <w:rFonts w:hint="eastAsia"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附件：</w:t>
      </w:r>
    </w:p>
    <w:p>
      <w:pPr>
        <w:spacing w:line="560" w:lineRule="exact"/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1、绿肥栽培技术意见</w:t>
      </w:r>
    </w:p>
    <w:p>
      <w:pPr>
        <w:spacing w:line="560" w:lineRule="exact"/>
        <w:ind w:firstLine="1350" w:firstLineChars="45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2、油菜栽培技术意见</w:t>
      </w:r>
    </w:p>
    <w:p>
      <w:pPr>
        <w:spacing w:line="560" w:lineRule="exact"/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</w:t>
      </w:r>
    </w:p>
    <w:p>
      <w:pPr>
        <w:spacing w:line="520" w:lineRule="exact"/>
        <w:ind w:firstLine="140" w:firstLineChars="50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ind w:firstLine="140" w:firstLineChars="50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ind w:firstLine="140" w:firstLineChars="50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ind w:firstLine="140" w:firstLineChars="50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ind w:firstLine="140" w:firstLineChars="50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ind w:firstLine="140" w:firstLineChars="50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ind w:firstLine="140" w:firstLineChars="50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ind w:firstLine="140" w:firstLineChars="50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ind w:firstLine="160" w:firstLine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绿肥栽培技术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意见</w:t>
      </w:r>
    </w:p>
    <w:p>
      <w:pPr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spacing w:line="560" w:lineRule="exact"/>
        <w:ind w:firstLine="640" w:firstLineChars="200"/>
        <w:rPr>
          <w:rFonts w:hint="eastAsia" w:eastAsia="黑体"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>一、</w:t>
      </w:r>
      <w:r>
        <w:rPr>
          <w:rFonts w:hint="eastAsia" w:eastAsia="黑体"/>
          <w:kern w:val="0"/>
          <w:sz w:val="32"/>
          <w:szCs w:val="32"/>
        </w:rPr>
        <w:t>选用良种，确保种子质量</w:t>
      </w:r>
    </w:p>
    <w:p>
      <w:pPr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根据不同绿肥作物生长规律和品种特点，要以适时播种为前提，力求早播，提高播种质量。水稻秸秆全量还田、沟系配套相对较迟的田块，建议选择种植蚕豆绿肥；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有种植经验和种植习惯的地区种植紫云英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蚕豆绿肥选择适宜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我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黑体" w:eastAsia="仿宋_GB2312"/>
          <w:sz w:val="32"/>
          <w:szCs w:val="32"/>
        </w:rPr>
        <w:t>种植的“启豆1号”“启豆2号”以及本地青皮蚕豆；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紫云英绿肥以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徽紫2号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”“皖紫早花”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为主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；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示范种植光叶苕子及箭筈豌豆等新品种绿肥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b w:val="0"/>
          <w:bCs/>
          <w:sz w:val="32"/>
          <w:szCs w:val="32"/>
        </w:rPr>
        <w:t>种子处理（紫云英）：</w:t>
      </w:r>
      <w:r>
        <w:rPr>
          <w:rFonts w:hint="eastAsia" w:ascii="仿宋_GB2312" w:hAnsi="黑体" w:eastAsia="仿宋_GB2312"/>
          <w:sz w:val="32"/>
          <w:szCs w:val="32"/>
        </w:rPr>
        <w:t>播种前将种子摊晒4～5小时，用5%的盐水选种，清除病粒和空秕粒，保证种子质量，做好发芽率、发芽势的测定，确保出苗和成苗率。紫云英绿肥按种子量加1～2倍细沙进行擦种处理,能提高种子的发芽率和发芽势，有条件的拌根瘤菌播种。对于播种偏迟的田块，可采用磷酸二氢钾或清水浸种12～24小时，促使种子早出苗、快齐苗。</w:t>
      </w:r>
    </w:p>
    <w:p>
      <w:pPr>
        <w:spacing w:line="560" w:lineRule="exact"/>
        <w:ind w:firstLine="640" w:firstLineChars="200"/>
        <w:rPr>
          <w:rFonts w:hint="eastAsia" w:eastAsia="黑体"/>
          <w:kern w:val="0"/>
          <w:sz w:val="32"/>
          <w:szCs w:val="32"/>
          <w:lang w:val="en-US" w:eastAsia="zh-CN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>二、适期、适量播种，提高播种质量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color w:val="0000FF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根据秋播绿肥的种类、品种特点，适宜播期内早播，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先采取浅耕播种，</w:t>
      </w:r>
      <w:r>
        <w:rPr>
          <w:rFonts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提高播种质量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宋体" w:eastAsia="仿宋_GB2312"/>
          <w:sz w:val="32"/>
          <w:szCs w:val="32"/>
        </w:rPr>
        <w:t>充分利用冬前有效温光资源，促苗生长，保证绿肥壮苗越冬。</w:t>
      </w:r>
    </w:p>
    <w:p>
      <w:pPr>
        <w:spacing w:line="560" w:lineRule="exact"/>
        <w:ind w:firstLine="643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b/>
          <w:sz w:val="32"/>
          <w:szCs w:val="32"/>
        </w:rPr>
        <w:t>适期播种</w:t>
      </w:r>
      <w:r>
        <w:rPr>
          <w:rFonts w:hint="eastAsia" w:ascii="仿宋_GB2312" w:hAnsi="黑体" w:eastAsia="仿宋_GB2312"/>
          <w:b/>
          <w:sz w:val="32"/>
          <w:szCs w:val="32"/>
        </w:rPr>
        <w:t>，</w:t>
      </w:r>
      <w:r>
        <w:rPr>
          <w:rFonts w:ascii="仿宋_GB2312" w:hAnsi="黑体" w:eastAsia="仿宋_GB2312"/>
          <w:b/>
          <w:sz w:val="32"/>
          <w:szCs w:val="32"/>
        </w:rPr>
        <w:t>培育壮苗</w:t>
      </w:r>
      <w:r>
        <w:rPr>
          <w:rFonts w:hint="eastAsia" w:ascii="仿宋_GB2312" w:hAnsi="黑体" w:eastAsia="仿宋_GB2312"/>
          <w:sz w:val="32"/>
          <w:szCs w:val="32"/>
        </w:rPr>
        <w:t>：蚕豆绿肥，</w:t>
      </w:r>
      <w:r>
        <w:rPr>
          <w:rFonts w:ascii="仿宋_GB2312" w:hAnsi="黑体" w:eastAsia="仿宋_GB2312"/>
          <w:sz w:val="32"/>
          <w:szCs w:val="32"/>
        </w:rPr>
        <w:t>免耕套</w:t>
      </w:r>
      <w:r>
        <w:rPr>
          <w:rFonts w:hint="eastAsia" w:ascii="仿宋_GB2312" w:hAnsi="黑体" w:eastAsia="仿宋_GB2312"/>
          <w:sz w:val="32"/>
          <w:szCs w:val="32"/>
        </w:rPr>
        <w:t>（</w:t>
      </w:r>
      <w:r>
        <w:rPr>
          <w:rFonts w:ascii="仿宋_GB2312" w:hAnsi="黑体" w:eastAsia="仿宋_GB2312"/>
          <w:sz w:val="32"/>
          <w:szCs w:val="32"/>
        </w:rPr>
        <w:t>撒</w:t>
      </w:r>
      <w:r>
        <w:rPr>
          <w:rFonts w:hint="eastAsia" w:ascii="仿宋_GB2312" w:hAnsi="黑体" w:eastAsia="仿宋_GB2312"/>
          <w:sz w:val="32"/>
          <w:szCs w:val="32"/>
        </w:rPr>
        <w:t>）</w:t>
      </w:r>
      <w:r>
        <w:rPr>
          <w:rFonts w:ascii="仿宋_GB2312" w:hAnsi="黑体" w:eastAsia="仿宋_GB2312"/>
          <w:sz w:val="32"/>
          <w:szCs w:val="32"/>
        </w:rPr>
        <w:t>播10月25日前</w:t>
      </w:r>
      <w:r>
        <w:rPr>
          <w:rFonts w:hint="eastAsia" w:ascii="仿宋_GB2312" w:hAnsi="黑体" w:eastAsia="仿宋_GB2312"/>
          <w:sz w:val="32"/>
          <w:szCs w:val="32"/>
        </w:rPr>
        <w:t>播种</w:t>
      </w:r>
      <w:r>
        <w:rPr>
          <w:rFonts w:ascii="仿宋_GB2312" w:hAnsi="黑体" w:eastAsia="仿宋_GB2312"/>
          <w:sz w:val="32"/>
          <w:szCs w:val="32"/>
        </w:rPr>
        <w:t>（与水稻共生期不超过5</w:t>
      </w:r>
      <w:r>
        <w:rPr>
          <w:rFonts w:hint="eastAsia" w:ascii="仿宋_GB2312" w:hAnsi="黑体" w:eastAsia="仿宋_GB2312"/>
          <w:sz w:val="32"/>
          <w:szCs w:val="32"/>
        </w:rPr>
        <w:t>天</w:t>
      </w:r>
      <w:r>
        <w:rPr>
          <w:rFonts w:ascii="仿宋_GB2312" w:hAnsi="黑体" w:eastAsia="仿宋_GB2312"/>
          <w:sz w:val="32"/>
          <w:szCs w:val="32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；</w:t>
      </w:r>
      <w:r>
        <w:rPr>
          <w:rFonts w:ascii="仿宋_GB2312" w:hAnsi="黑体" w:eastAsia="仿宋_GB2312"/>
          <w:sz w:val="32"/>
          <w:szCs w:val="32"/>
        </w:rPr>
        <w:t>浅耕11月5日前，最迟不宜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晚于</w:t>
      </w:r>
      <w:r>
        <w:rPr>
          <w:rFonts w:ascii="仿宋_GB2312" w:hAnsi="黑体" w:eastAsia="仿宋_GB2312"/>
          <w:sz w:val="32"/>
          <w:szCs w:val="32"/>
        </w:rPr>
        <w:t>11月10日播种</w:t>
      </w:r>
      <w:r>
        <w:rPr>
          <w:rFonts w:hint="eastAsia" w:ascii="仿宋_GB2312" w:hAnsi="黑体" w:eastAsia="仿宋_GB2312"/>
          <w:sz w:val="32"/>
          <w:szCs w:val="32"/>
        </w:rPr>
        <w:t>；</w:t>
      </w:r>
      <w:r>
        <w:rPr>
          <w:rFonts w:ascii="仿宋_GB2312" w:hAnsi="黑体" w:eastAsia="仿宋_GB2312"/>
          <w:sz w:val="32"/>
          <w:szCs w:val="32"/>
        </w:rPr>
        <w:t>穴播11月10日前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播种</w:t>
      </w:r>
      <w:r>
        <w:rPr>
          <w:rFonts w:hint="eastAsia" w:ascii="仿宋_GB2312" w:hAnsi="黑体" w:eastAsia="仿宋_GB2312"/>
          <w:sz w:val="32"/>
          <w:szCs w:val="32"/>
        </w:rPr>
        <w:t>。</w:t>
      </w:r>
      <w:r>
        <w:rPr>
          <w:rFonts w:ascii="仿宋_GB2312" w:hAnsi="黑体" w:eastAsia="仿宋_GB2312"/>
          <w:sz w:val="32"/>
          <w:szCs w:val="32"/>
        </w:rPr>
        <w:t>紫云英</w:t>
      </w:r>
      <w:r>
        <w:rPr>
          <w:rFonts w:hint="eastAsia" w:ascii="仿宋_GB2312" w:hAnsi="黑体" w:eastAsia="仿宋_GB2312"/>
          <w:sz w:val="32"/>
          <w:szCs w:val="32"/>
        </w:rPr>
        <w:t>绿肥，浅耕直播，10月上、中旬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播种</w:t>
      </w:r>
      <w:r>
        <w:rPr>
          <w:rFonts w:hint="eastAsia" w:ascii="仿宋_GB2312" w:hAnsi="黑体" w:eastAsia="仿宋_GB2312"/>
          <w:sz w:val="32"/>
          <w:szCs w:val="32"/>
        </w:rPr>
        <w:t>；套播，10月上旬，最迟不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晚于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10月15日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播种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与水稻共生期</w:t>
      </w:r>
      <w:r>
        <w:rPr>
          <w:rFonts w:hint="eastAsia" w:ascii="仿宋_GB2312" w:hAnsi="黑体" w:eastAsia="仿宋_GB2312"/>
          <w:sz w:val="32"/>
          <w:szCs w:val="32"/>
        </w:rPr>
        <w:t>一般不超</w:t>
      </w:r>
      <w:r>
        <w:rPr>
          <w:rFonts w:ascii="仿宋_GB2312" w:hAnsi="黑体" w:eastAsia="仿宋_GB2312"/>
          <w:sz w:val="32"/>
          <w:szCs w:val="32"/>
        </w:rPr>
        <w:t>25</w:t>
      </w:r>
      <w:r>
        <w:rPr>
          <w:rFonts w:hint="eastAsia" w:ascii="仿宋_GB2312" w:hAnsi="黑体" w:eastAsia="仿宋_GB2312"/>
          <w:sz w:val="32"/>
          <w:szCs w:val="32"/>
        </w:rPr>
        <w:t>天。</w:t>
      </w:r>
    </w:p>
    <w:p>
      <w:pPr>
        <w:spacing w:line="560" w:lineRule="exact"/>
        <w:ind w:firstLine="643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b/>
          <w:sz w:val="32"/>
          <w:szCs w:val="32"/>
        </w:rPr>
        <w:t>适量播种，优化群体</w:t>
      </w:r>
      <w:r>
        <w:rPr>
          <w:rFonts w:hint="eastAsia" w:ascii="仿宋_GB2312" w:hAnsi="黑体" w:eastAsia="仿宋_GB2312"/>
          <w:b/>
          <w:sz w:val="32"/>
          <w:szCs w:val="32"/>
        </w:rPr>
        <w:t>：</w:t>
      </w:r>
      <w:r>
        <w:rPr>
          <w:rFonts w:ascii="仿宋_GB2312" w:hAnsi="黑体" w:eastAsia="仿宋_GB2312"/>
          <w:sz w:val="32"/>
          <w:szCs w:val="32"/>
        </w:rPr>
        <w:t>根据品种特点和种子发芽率</w:t>
      </w:r>
      <w:r>
        <w:rPr>
          <w:rFonts w:hint="eastAsia" w:ascii="仿宋_GB2312" w:hAnsi="黑体" w:eastAsia="仿宋_GB2312"/>
          <w:sz w:val="32"/>
          <w:szCs w:val="32"/>
        </w:rPr>
        <w:t>情况</w:t>
      </w:r>
      <w:r>
        <w:rPr>
          <w:rFonts w:ascii="仿宋_GB2312" w:hAnsi="黑体" w:eastAsia="仿宋_GB2312"/>
          <w:sz w:val="32"/>
          <w:szCs w:val="32"/>
        </w:rPr>
        <w:t>、播种早晚以及田间情况确定播量。</w:t>
      </w:r>
      <w:r>
        <w:rPr>
          <w:rFonts w:hint="eastAsia" w:ascii="仿宋_GB2312" w:hAnsi="黑体" w:eastAsia="仿宋_GB2312"/>
          <w:sz w:val="32"/>
          <w:szCs w:val="32"/>
        </w:rPr>
        <w:t>在适宜播期范围内，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小粒</w:t>
      </w:r>
      <w:r>
        <w:rPr>
          <w:rFonts w:hint="eastAsia" w:ascii="仿宋_GB2312" w:hAnsi="黑体" w:eastAsia="仿宋_GB2312"/>
          <w:sz w:val="32"/>
          <w:szCs w:val="32"/>
        </w:rPr>
        <w:t>蚕豆绿肥10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公斤</w:t>
      </w:r>
      <w:r>
        <w:rPr>
          <w:rFonts w:hint="eastAsia" w:ascii="仿宋_GB2312" w:hAnsi="黑体" w:eastAsia="仿宋_GB2312"/>
          <w:sz w:val="32"/>
          <w:szCs w:val="32"/>
        </w:rPr>
        <w:t>/亩；</w:t>
      </w:r>
      <w:r>
        <w:rPr>
          <w:rFonts w:ascii="仿宋_GB2312" w:hAnsi="黑体" w:eastAsia="仿宋_GB2312"/>
          <w:sz w:val="32"/>
          <w:szCs w:val="32"/>
        </w:rPr>
        <w:t>紫云英</w:t>
      </w:r>
      <w:r>
        <w:rPr>
          <w:rFonts w:hint="eastAsia" w:ascii="仿宋_GB2312" w:hAnsi="黑体" w:eastAsia="仿宋_GB2312"/>
          <w:sz w:val="32"/>
          <w:szCs w:val="32"/>
        </w:rPr>
        <w:t>绿肥，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每亩播种量</w:t>
      </w:r>
      <w:r>
        <w:rPr>
          <w:rFonts w:ascii="仿宋_GB2312" w:hAnsi="黑体" w:eastAsia="仿宋_GB2312"/>
          <w:sz w:val="32"/>
          <w:szCs w:val="32"/>
        </w:rPr>
        <w:t>2.5～4</w:t>
      </w:r>
      <w:r>
        <w:rPr>
          <w:rFonts w:hint="eastAsia" w:ascii="仿宋_GB2312" w:hAnsi="黑体" w:eastAsia="仿宋_GB2312"/>
          <w:sz w:val="32"/>
          <w:szCs w:val="32"/>
        </w:rPr>
        <w:t>公斤。</w:t>
      </w:r>
      <w:r>
        <w:rPr>
          <w:rFonts w:ascii="仿宋_GB2312" w:hAnsi="黑体" w:eastAsia="仿宋_GB2312"/>
          <w:sz w:val="32"/>
          <w:szCs w:val="32"/>
        </w:rPr>
        <w:t>早播</w:t>
      </w:r>
      <w:r>
        <w:rPr>
          <w:rFonts w:hint="eastAsia" w:ascii="仿宋_GB2312" w:hAnsi="黑体" w:eastAsia="仿宋_GB2312"/>
          <w:sz w:val="32"/>
          <w:szCs w:val="32"/>
        </w:rPr>
        <w:t>、穴播</w:t>
      </w:r>
      <w:r>
        <w:rPr>
          <w:rFonts w:ascii="仿宋_GB2312" w:hAnsi="黑体" w:eastAsia="仿宋_GB2312"/>
          <w:sz w:val="32"/>
          <w:szCs w:val="32"/>
        </w:rPr>
        <w:t>和浅耕播种适当减少，迟播</w:t>
      </w:r>
      <w:r>
        <w:rPr>
          <w:rFonts w:hint="eastAsia" w:ascii="仿宋_GB2312" w:hAnsi="黑体" w:eastAsia="仿宋_GB2312"/>
          <w:sz w:val="32"/>
          <w:szCs w:val="32"/>
        </w:rPr>
        <w:t>、</w:t>
      </w:r>
      <w:r>
        <w:rPr>
          <w:rFonts w:ascii="仿宋_GB2312" w:hAnsi="黑体" w:eastAsia="仿宋_GB2312"/>
          <w:sz w:val="32"/>
          <w:szCs w:val="32"/>
        </w:rPr>
        <w:t>套播</w:t>
      </w:r>
      <w:r>
        <w:rPr>
          <w:rFonts w:hint="eastAsia" w:ascii="仿宋_GB2312" w:hAnsi="黑体" w:eastAsia="仿宋_GB2312"/>
          <w:sz w:val="32"/>
          <w:szCs w:val="32"/>
        </w:rPr>
        <w:t>、无人机飞播</w:t>
      </w:r>
      <w:r>
        <w:rPr>
          <w:rFonts w:ascii="仿宋_GB2312" w:hAnsi="黑体" w:eastAsia="仿宋_GB2312"/>
          <w:sz w:val="32"/>
          <w:szCs w:val="32"/>
        </w:rPr>
        <w:t>及秸秆全量还田</w:t>
      </w:r>
      <w:r>
        <w:rPr>
          <w:rFonts w:hint="eastAsia" w:ascii="仿宋_GB2312" w:hAnsi="黑体" w:eastAsia="仿宋_GB2312"/>
          <w:sz w:val="32"/>
          <w:szCs w:val="32"/>
        </w:rPr>
        <w:t>的</w:t>
      </w:r>
      <w:r>
        <w:rPr>
          <w:rFonts w:ascii="仿宋_GB2312" w:hAnsi="黑体" w:eastAsia="仿宋_GB2312"/>
          <w:sz w:val="32"/>
          <w:szCs w:val="32"/>
        </w:rPr>
        <w:t>田块适当增加。</w:t>
      </w:r>
    </w:p>
    <w:p>
      <w:pPr>
        <w:spacing w:line="560" w:lineRule="exact"/>
        <w:ind w:firstLine="640" w:firstLineChars="200"/>
        <w:rPr>
          <w:rFonts w:hint="eastAsia" w:eastAsia="黑体"/>
          <w:kern w:val="0"/>
          <w:sz w:val="32"/>
          <w:szCs w:val="32"/>
          <w:lang w:val="en-US" w:eastAsia="zh-CN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>三、合理施肥，提高生物学产量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磷肥对豆科绿肥增产效果显著，可促进根系的生长发育和共生根瘤菌的繁殖，增强固氮能力；钾肥可促使豆科绿肥早发分枝，多结根瘤，提高抗逆性；氮磷的交互作用可以促进作物对钾的吸收，并达到“以磷增氮”的目的。开春后，随着温度的升高，豆科绿肥生长迅速，</w:t>
      </w:r>
      <w:r>
        <w:rPr>
          <w:rFonts w:ascii="仿宋_GB2312" w:hAnsi="宋体" w:eastAsia="仿宋_GB2312"/>
          <w:sz w:val="32"/>
          <w:szCs w:val="32"/>
        </w:rPr>
        <w:t>氮素需求</w:t>
      </w:r>
      <w:r>
        <w:rPr>
          <w:rFonts w:hint="eastAsia" w:ascii="仿宋_GB2312" w:hAnsi="宋体" w:eastAsia="仿宋_GB2312"/>
          <w:sz w:val="32"/>
          <w:szCs w:val="32"/>
        </w:rPr>
        <w:t>量迅速增加</w:t>
      </w:r>
      <w:r>
        <w:rPr>
          <w:rFonts w:ascii="仿宋_GB2312" w:hAnsi="宋体" w:eastAsia="仿宋_GB2312"/>
          <w:sz w:val="32"/>
          <w:szCs w:val="32"/>
        </w:rPr>
        <w:t>，应及时施</w:t>
      </w:r>
      <w:r>
        <w:rPr>
          <w:rFonts w:hint="eastAsia" w:ascii="仿宋_GB2312" w:hAnsi="宋体" w:eastAsia="仿宋_GB2312"/>
          <w:sz w:val="32"/>
          <w:szCs w:val="32"/>
        </w:rPr>
        <w:t>用</w:t>
      </w:r>
      <w:r>
        <w:rPr>
          <w:rFonts w:ascii="仿宋_GB2312" w:hAnsi="宋体" w:eastAsia="仿宋_GB2312"/>
          <w:sz w:val="32"/>
          <w:szCs w:val="32"/>
        </w:rPr>
        <w:t>氮</w:t>
      </w:r>
      <w:r>
        <w:rPr>
          <w:rFonts w:hint="eastAsia" w:ascii="仿宋_GB2312" w:hAnsi="宋体" w:eastAsia="仿宋_GB2312"/>
          <w:sz w:val="32"/>
          <w:szCs w:val="32"/>
        </w:rPr>
        <w:t>肥</w:t>
      </w:r>
      <w:r>
        <w:rPr>
          <w:rFonts w:ascii="仿宋_GB2312" w:hAnsi="宋体" w:eastAsia="仿宋_GB2312"/>
          <w:sz w:val="32"/>
          <w:szCs w:val="32"/>
        </w:rPr>
        <w:t>，促</w:t>
      </w:r>
      <w:r>
        <w:rPr>
          <w:rFonts w:hint="eastAsia" w:ascii="仿宋_GB2312" w:hAnsi="宋体" w:eastAsia="仿宋_GB2312"/>
          <w:sz w:val="32"/>
          <w:szCs w:val="32"/>
        </w:rPr>
        <w:t>进</w:t>
      </w:r>
      <w:r>
        <w:rPr>
          <w:rFonts w:ascii="仿宋_GB2312" w:hAnsi="宋体" w:eastAsia="仿宋_GB2312"/>
          <w:sz w:val="32"/>
          <w:szCs w:val="32"/>
        </w:rPr>
        <w:t>生长，提高</w:t>
      </w:r>
      <w:r>
        <w:rPr>
          <w:rFonts w:hint="eastAsia" w:ascii="仿宋_GB2312" w:hAnsi="宋体" w:eastAsia="仿宋_GB2312"/>
          <w:sz w:val="32"/>
          <w:szCs w:val="32"/>
        </w:rPr>
        <w:t>生物学</w:t>
      </w:r>
      <w:r>
        <w:rPr>
          <w:rFonts w:ascii="仿宋_GB2312" w:hAnsi="宋体" w:eastAsia="仿宋_GB2312"/>
          <w:sz w:val="32"/>
          <w:szCs w:val="32"/>
        </w:rPr>
        <w:t>产量。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绿肥作物强调“以小肥养大肥”，基肥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，每亩</w:t>
      </w:r>
      <w:r>
        <w:rPr>
          <w:rFonts w:hint="eastAsia" w:ascii="仿宋_GB2312" w:hAnsi="宋体" w:eastAsia="仿宋_GB2312"/>
          <w:sz w:val="32"/>
          <w:szCs w:val="32"/>
        </w:rPr>
        <w:t>施复合肥15～20公斤或过磷酸钙25公斤左右；开春后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，每亩</w:t>
      </w:r>
      <w:r>
        <w:rPr>
          <w:rFonts w:hint="eastAsia" w:ascii="仿宋_GB2312" w:hAnsi="宋体" w:eastAsia="仿宋_GB2312"/>
          <w:sz w:val="32"/>
          <w:szCs w:val="32"/>
        </w:rPr>
        <w:t>及时追施尿素5～7.5公斤。</w:t>
      </w:r>
    </w:p>
    <w:p>
      <w:pPr>
        <w:spacing w:line="560" w:lineRule="exact"/>
        <w:ind w:firstLine="640" w:firstLineChars="200"/>
        <w:rPr>
          <w:rFonts w:hint="eastAsia" w:eastAsia="黑体"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>四、</w:t>
      </w:r>
      <w:r>
        <w:rPr>
          <w:rFonts w:hint="eastAsia" w:eastAsia="黑体"/>
          <w:kern w:val="0"/>
          <w:sz w:val="32"/>
          <w:szCs w:val="32"/>
        </w:rPr>
        <w:t>适期翻压，提高翻压质量</w:t>
      </w:r>
    </w:p>
    <w:p>
      <w:pPr>
        <w:spacing w:line="560" w:lineRule="exact"/>
        <w:ind w:firstLine="643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b/>
          <w:sz w:val="32"/>
          <w:szCs w:val="32"/>
        </w:rPr>
        <w:t>翻压期。</w:t>
      </w:r>
      <w:r>
        <w:rPr>
          <w:rFonts w:ascii="仿宋_GB2312" w:hAnsi="黑体" w:eastAsia="仿宋_GB2312"/>
          <w:sz w:val="32"/>
          <w:szCs w:val="32"/>
        </w:rPr>
        <w:t>根据不同绿肥作物的腐解速度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以及</w:t>
      </w:r>
      <w:r>
        <w:rPr>
          <w:rFonts w:hint="eastAsia" w:ascii="仿宋_GB2312" w:hAnsi="黑体" w:eastAsia="仿宋_GB2312"/>
          <w:sz w:val="32"/>
          <w:szCs w:val="32"/>
        </w:rPr>
        <w:t>后</w:t>
      </w:r>
      <w:r>
        <w:rPr>
          <w:rFonts w:ascii="仿宋_GB2312" w:hAnsi="黑体" w:eastAsia="仿宋_GB2312"/>
          <w:sz w:val="32"/>
          <w:szCs w:val="32"/>
        </w:rPr>
        <w:t>茬作物的种植时间和需肥时期确定翻压期。适期翻压可</w:t>
      </w:r>
      <w:r>
        <w:rPr>
          <w:rFonts w:hint="eastAsia" w:ascii="仿宋_GB2312" w:hAnsi="黑体" w:eastAsia="仿宋_GB2312"/>
          <w:sz w:val="32"/>
          <w:szCs w:val="32"/>
        </w:rPr>
        <w:t>保证</w:t>
      </w:r>
      <w:r>
        <w:rPr>
          <w:rFonts w:ascii="仿宋_GB2312" w:hAnsi="黑体" w:eastAsia="仿宋_GB2312"/>
          <w:sz w:val="32"/>
          <w:szCs w:val="32"/>
        </w:rPr>
        <w:t>绿肥翻压后</w:t>
      </w:r>
      <w:r>
        <w:rPr>
          <w:rFonts w:hint="eastAsia" w:ascii="仿宋_GB2312" w:hAnsi="黑体" w:eastAsia="仿宋_GB2312"/>
          <w:sz w:val="32"/>
          <w:szCs w:val="32"/>
        </w:rPr>
        <w:t>能充分</w:t>
      </w:r>
      <w:r>
        <w:rPr>
          <w:rFonts w:ascii="仿宋_GB2312" w:hAnsi="黑体" w:eastAsia="仿宋_GB2312"/>
          <w:sz w:val="32"/>
          <w:szCs w:val="32"/>
        </w:rPr>
        <w:t>腐解</w:t>
      </w:r>
      <w:r>
        <w:rPr>
          <w:rFonts w:hint="eastAsia" w:ascii="仿宋_GB2312" w:hAnsi="黑体" w:eastAsia="仿宋_GB2312"/>
          <w:sz w:val="32"/>
          <w:szCs w:val="32"/>
        </w:rPr>
        <w:t>。</w:t>
      </w:r>
      <w:r>
        <w:rPr>
          <w:rFonts w:ascii="仿宋_GB2312" w:hAnsi="黑体" w:eastAsia="仿宋_GB2312"/>
          <w:sz w:val="32"/>
          <w:szCs w:val="32"/>
        </w:rPr>
        <w:t>翻压适期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ascii="仿宋_GB2312" w:hAnsi="黑体" w:eastAsia="仿宋_GB2312"/>
          <w:sz w:val="32"/>
          <w:szCs w:val="32"/>
        </w:rPr>
        <w:t>蚕豆</w:t>
      </w:r>
      <w:r>
        <w:rPr>
          <w:rFonts w:hint="eastAsia" w:ascii="仿宋_GB2312" w:hAnsi="黑体" w:eastAsia="仿宋_GB2312"/>
          <w:sz w:val="32"/>
          <w:szCs w:val="32"/>
        </w:rPr>
        <w:t>绿肥</w:t>
      </w:r>
      <w:r>
        <w:rPr>
          <w:rFonts w:ascii="仿宋_GB2312" w:hAnsi="黑体" w:eastAsia="仿宋_GB2312"/>
          <w:sz w:val="32"/>
          <w:szCs w:val="32"/>
        </w:rPr>
        <w:t>在盛花至结荚初期，紫云英</w:t>
      </w:r>
      <w:r>
        <w:rPr>
          <w:rFonts w:hint="eastAsia" w:ascii="仿宋_GB2312" w:hAnsi="黑体" w:eastAsia="仿宋_GB2312"/>
          <w:sz w:val="32"/>
          <w:szCs w:val="32"/>
        </w:rPr>
        <w:t>绿肥</w:t>
      </w:r>
      <w:r>
        <w:rPr>
          <w:rFonts w:ascii="仿宋_GB2312" w:hAnsi="黑体" w:eastAsia="仿宋_GB2312"/>
          <w:sz w:val="32"/>
          <w:szCs w:val="32"/>
        </w:rPr>
        <w:t>4月下旬盛花后5</w:t>
      </w:r>
      <w:r>
        <w:rPr>
          <w:rFonts w:hint="eastAsia" w:ascii="仿宋_GB2312" w:hAnsi="黑体" w:eastAsia="仿宋_GB2312"/>
          <w:sz w:val="32"/>
          <w:szCs w:val="32"/>
        </w:rPr>
        <w:t>天</w:t>
      </w:r>
      <w:r>
        <w:rPr>
          <w:rFonts w:ascii="仿宋_GB2312" w:hAnsi="黑体" w:eastAsia="仿宋_GB2312"/>
          <w:sz w:val="32"/>
          <w:szCs w:val="32"/>
        </w:rPr>
        <w:t>左右</w:t>
      </w:r>
      <w:r>
        <w:rPr>
          <w:rFonts w:hint="eastAsia" w:ascii="仿宋_GB2312" w:hAnsi="黑体" w:eastAsia="仿宋_GB2312"/>
          <w:sz w:val="32"/>
          <w:szCs w:val="32"/>
        </w:rPr>
        <w:t>。</w:t>
      </w:r>
      <w:r>
        <w:rPr>
          <w:rFonts w:ascii="仿宋_GB2312" w:hAnsi="黑体" w:eastAsia="仿宋_GB2312"/>
          <w:sz w:val="32"/>
          <w:szCs w:val="32"/>
        </w:rPr>
        <w:t>蚕豆</w:t>
      </w:r>
      <w:r>
        <w:rPr>
          <w:rFonts w:hint="eastAsia" w:ascii="仿宋_GB2312" w:hAnsi="黑体" w:eastAsia="仿宋_GB2312"/>
          <w:sz w:val="32"/>
          <w:szCs w:val="32"/>
        </w:rPr>
        <w:t>绿肥</w:t>
      </w:r>
      <w:r>
        <w:rPr>
          <w:rFonts w:ascii="仿宋_GB2312" w:hAnsi="黑体" w:eastAsia="仿宋_GB2312"/>
          <w:sz w:val="32"/>
          <w:szCs w:val="32"/>
        </w:rPr>
        <w:t>翻压后腐解需25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ascii="仿宋_GB2312" w:hAnsi="黑体" w:eastAsia="仿宋_GB2312"/>
          <w:sz w:val="32"/>
          <w:szCs w:val="32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0天</w:t>
      </w:r>
      <w:r>
        <w:rPr>
          <w:rFonts w:ascii="仿宋_GB2312" w:hAnsi="黑体" w:eastAsia="仿宋_GB2312"/>
          <w:sz w:val="32"/>
          <w:szCs w:val="32"/>
        </w:rPr>
        <w:t>，紫云英</w:t>
      </w:r>
      <w:r>
        <w:rPr>
          <w:rFonts w:hint="eastAsia" w:ascii="仿宋_GB2312" w:hAnsi="黑体" w:eastAsia="仿宋_GB2312"/>
          <w:sz w:val="32"/>
          <w:szCs w:val="32"/>
        </w:rPr>
        <w:t>绿肥</w:t>
      </w:r>
      <w:r>
        <w:rPr>
          <w:rFonts w:ascii="仿宋_GB2312" w:hAnsi="黑体" w:eastAsia="仿宋_GB2312"/>
          <w:sz w:val="32"/>
          <w:szCs w:val="32"/>
        </w:rPr>
        <w:t>15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ascii="仿宋_GB2312" w:hAnsi="黑体" w:eastAsia="仿宋_GB2312"/>
          <w:sz w:val="32"/>
          <w:szCs w:val="32"/>
        </w:rPr>
        <w:t>20</w:t>
      </w:r>
      <w:r>
        <w:rPr>
          <w:rFonts w:hint="eastAsia" w:ascii="仿宋_GB2312" w:hAnsi="黑体" w:eastAsia="仿宋_GB2312"/>
          <w:sz w:val="32"/>
          <w:szCs w:val="32"/>
        </w:rPr>
        <w:t>天。</w:t>
      </w:r>
    </w:p>
    <w:p>
      <w:pPr>
        <w:spacing w:line="560" w:lineRule="exact"/>
        <w:ind w:firstLine="643" w:firstLineChars="200"/>
        <w:rPr>
          <w:rFonts w:hint="eastAsia" w:ascii="仿宋_GB2312" w:hAnsi="黑体" w:eastAsia="仿宋_GB2312"/>
          <w:b/>
          <w:sz w:val="32"/>
          <w:szCs w:val="32"/>
        </w:rPr>
      </w:pPr>
      <w:r>
        <w:rPr>
          <w:rFonts w:ascii="仿宋_GB2312" w:hAnsi="黑体" w:eastAsia="仿宋_GB2312"/>
          <w:b/>
          <w:sz w:val="32"/>
          <w:szCs w:val="32"/>
        </w:rPr>
        <w:t>翻压</w:t>
      </w:r>
      <w:r>
        <w:rPr>
          <w:rFonts w:hint="eastAsia" w:ascii="仿宋_GB2312" w:hAnsi="黑体" w:eastAsia="仿宋_GB2312"/>
          <w:b/>
          <w:sz w:val="32"/>
          <w:szCs w:val="32"/>
        </w:rPr>
        <w:t>量。</w:t>
      </w:r>
      <w:r>
        <w:rPr>
          <w:rFonts w:hint="eastAsia" w:ascii="仿宋_GB2312" w:hAnsi="黑体" w:eastAsia="仿宋_GB2312"/>
          <w:sz w:val="32"/>
          <w:szCs w:val="32"/>
        </w:rPr>
        <w:t>绿肥</w:t>
      </w:r>
      <w:r>
        <w:rPr>
          <w:rFonts w:ascii="仿宋_GB2312" w:hAnsi="黑体" w:eastAsia="仿宋_GB2312"/>
          <w:sz w:val="32"/>
          <w:szCs w:val="32"/>
        </w:rPr>
        <w:t>在腐解过程中产生大量硫化氢，</w:t>
      </w:r>
      <w:r>
        <w:rPr>
          <w:rFonts w:hint="eastAsia" w:ascii="仿宋_GB2312" w:hAnsi="黑体" w:eastAsia="仿宋_GB2312"/>
          <w:sz w:val="32"/>
          <w:szCs w:val="32"/>
        </w:rPr>
        <w:t>翻压</w:t>
      </w:r>
      <w:r>
        <w:rPr>
          <w:rFonts w:ascii="仿宋_GB2312" w:hAnsi="黑体" w:eastAsia="仿宋_GB2312"/>
          <w:sz w:val="32"/>
          <w:szCs w:val="32"/>
        </w:rPr>
        <w:t>数量过多，</w:t>
      </w:r>
      <w:r>
        <w:rPr>
          <w:rFonts w:hint="eastAsia" w:ascii="仿宋_GB2312" w:hAnsi="黑体" w:eastAsia="仿宋_GB2312"/>
          <w:sz w:val="32"/>
          <w:szCs w:val="32"/>
        </w:rPr>
        <w:t>易</w:t>
      </w:r>
      <w:r>
        <w:rPr>
          <w:rFonts w:ascii="仿宋_GB2312" w:hAnsi="黑体" w:eastAsia="仿宋_GB2312"/>
          <w:sz w:val="32"/>
          <w:szCs w:val="32"/>
        </w:rPr>
        <w:t>造成后茬</w:t>
      </w:r>
      <w:r>
        <w:rPr>
          <w:rFonts w:hint="eastAsia" w:ascii="仿宋_GB2312" w:hAnsi="黑体" w:eastAsia="仿宋_GB2312"/>
          <w:sz w:val="32"/>
          <w:szCs w:val="32"/>
        </w:rPr>
        <w:t>作物</w:t>
      </w:r>
      <w:r>
        <w:rPr>
          <w:rFonts w:ascii="仿宋_GB2312" w:hAnsi="黑体" w:eastAsia="仿宋_GB2312"/>
          <w:sz w:val="32"/>
          <w:szCs w:val="32"/>
        </w:rPr>
        <w:t>根系中毒，影响正常生长。因此，绿肥须控制翻压量，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每亩</w:t>
      </w:r>
      <w:r>
        <w:rPr>
          <w:rFonts w:ascii="仿宋_GB2312" w:hAnsi="黑体" w:eastAsia="仿宋_GB2312"/>
          <w:sz w:val="32"/>
          <w:szCs w:val="32"/>
        </w:rPr>
        <w:t>1000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ascii="仿宋_GB2312" w:hAnsi="黑体" w:eastAsia="仿宋_GB2312"/>
          <w:sz w:val="32"/>
          <w:szCs w:val="32"/>
        </w:rPr>
        <w:t>1500</w:t>
      </w:r>
      <w:r>
        <w:rPr>
          <w:rFonts w:hint="eastAsia" w:ascii="仿宋_GB2312" w:hAnsi="黑体" w:eastAsia="仿宋_GB2312"/>
          <w:sz w:val="32"/>
          <w:szCs w:val="32"/>
        </w:rPr>
        <w:t>公斤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为宜</w:t>
      </w:r>
      <w:r>
        <w:rPr>
          <w:rFonts w:ascii="仿宋_GB2312" w:hAnsi="黑体" w:eastAsia="仿宋_GB2312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hint="eastAsia" w:ascii="仿宋_GB2312" w:hAnsi="黑体" w:eastAsia="仿宋_GB2312"/>
          <w:b/>
          <w:sz w:val="32"/>
          <w:szCs w:val="32"/>
        </w:rPr>
      </w:pPr>
      <w:r>
        <w:rPr>
          <w:rFonts w:ascii="仿宋_GB2312" w:hAnsi="黑体" w:eastAsia="仿宋_GB2312"/>
          <w:b/>
          <w:sz w:val="32"/>
          <w:szCs w:val="32"/>
        </w:rPr>
        <w:t>翻压</w:t>
      </w:r>
      <w:r>
        <w:rPr>
          <w:rFonts w:hint="eastAsia" w:ascii="仿宋_GB2312" w:hAnsi="黑体" w:eastAsia="仿宋_GB2312"/>
          <w:b/>
          <w:sz w:val="32"/>
          <w:szCs w:val="32"/>
        </w:rPr>
        <w:t>质量。</w:t>
      </w:r>
      <w:r>
        <w:rPr>
          <w:rFonts w:hint="eastAsia" w:ascii="仿宋_GB2312" w:hAnsi="黑体" w:eastAsia="仿宋_GB2312"/>
          <w:sz w:val="32"/>
          <w:szCs w:val="32"/>
        </w:rPr>
        <w:t>翻压</w:t>
      </w:r>
      <w:r>
        <w:rPr>
          <w:rFonts w:ascii="仿宋_GB2312" w:hAnsi="黑体" w:eastAsia="仿宋_GB2312"/>
          <w:sz w:val="32"/>
          <w:szCs w:val="32"/>
        </w:rPr>
        <w:t>时做到严埋、压实，使绿肥与土壤密合无孔隙。后</w:t>
      </w:r>
      <w:r>
        <w:rPr>
          <w:rFonts w:hint="eastAsia" w:ascii="仿宋_GB2312" w:hAnsi="黑体" w:eastAsia="仿宋_GB2312"/>
          <w:sz w:val="32"/>
          <w:szCs w:val="32"/>
        </w:rPr>
        <w:t>茬</w:t>
      </w:r>
      <w:r>
        <w:rPr>
          <w:rFonts w:ascii="仿宋_GB2312" w:hAnsi="黑体" w:eastAsia="仿宋_GB2312"/>
          <w:sz w:val="32"/>
          <w:szCs w:val="32"/>
        </w:rPr>
        <w:t>种植水稻的田块</w:t>
      </w:r>
      <w:r>
        <w:rPr>
          <w:rFonts w:hint="eastAsia" w:ascii="仿宋_GB2312" w:hAnsi="黑体" w:eastAsia="仿宋_GB2312"/>
          <w:sz w:val="32"/>
          <w:szCs w:val="32"/>
        </w:rPr>
        <w:t>，</w:t>
      </w:r>
      <w:r>
        <w:rPr>
          <w:rFonts w:ascii="仿宋_GB2312" w:hAnsi="黑体" w:eastAsia="仿宋_GB2312"/>
          <w:sz w:val="32"/>
          <w:szCs w:val="32"/>
        </w:rPr>
        <w:t>绿肥翻压应结合耕翻进行，做到深耕、深埋。耕翻后，尽快</w:t>
      </w:r>
      <w:r>
        <w:rPr>
          <w:rFonts w:hint="eastAsia" w:ascii="仿宋_GB2312" w:hAnsi="黑体" w:eastAsia="仿宋_GB2312"/>
          <w:sz w:val="32"/>
          <w:szCs w:val="32"/>
        </w:rPr>
        <w:t>早</w:t>
      </w:r>
      <w:r>
        <w:rPr>
          <w:rFonts w:ascii="仿宋_GB2312" w:hAnsi="黑体" w:eastAsia="仿宋_GB2312"/>
          <w:sz w:val="32"/>
          <w:szCs w:val="32"/>
        </w:rPr>
        <w:t>耙地</w:t>
      </w:r>
      <w:r>
        <w:rPr>
          <w:rFonts w:hint="eastAsia" w:ascii="仿宋_GB2312" w:hAnsi="黑体" w:eastAsia="仿宋_GB2312"/>
          <w:sz w:val="32"/>
          <w:szCs w:val="32"/>
        </w:rPr>
        <w:t>、</w:t>
      </w:r>
      <w:r>
        <w:rPr>
          <w:rFonts w:ascii="仿宋_GB2312" w:hAnsi="黑体" w:eastAsia="仿宋_GB2312"/>
          <w:sz w:val="32"/>
          <w:szCs w:val="32"/>
        </w:rPr>
        <w:t>镇压</w:t>
      </w:r>
      <w:r>
        <w:rPr>
          <w:rFonts w:hint="eastAsia" w:ascii="仿宋_GB2312" w:hAnsi="黑体" w:eastAsia="仿宋_GB2312"/>
          <w:sz w:val="32"/>
          <w:szCs w:val="32"/>
        </w:rPr>
        <w:t>、</w:t>
      </w:r>
      <w:r>
        <w:rPr>
          <w:rFonts w:ascii="仿宋_GB2312" w:hAnsi="黑体" w:eastAsia="仿宋_GB2312"/>
          <w:sz w:val="32"/>
          <w:szCs w:val="32"/>
        </w:rPr>
        <w:t>晒垡</w:t>
      </w:r>
      <w:r>
        <w:rPr>
          <w:rFonts w:hint="eastAsia" w:ascii="仿宋_GB2312" w:hAnsi="黑体" w:eastAsia="仿宋_GB2312"/>
          <w:sz w:val="32"/>
          <w:szCs w:val="32"/>
        </w:rPr>
        <w:t>、</w:t>
      </w:r>
      <w:r>
        <w:rPr>
          <w:rFonts w:ascii="仿宋_GB2312" w:hAnsi="黑体" w:eastAsia="仿宋_GB2312"/>
          <w:sz w:val="32"/>
          <w:szCs w:val="32"/>
        </w:rPr>
        <w:t>灌水，施用氮肥，加快绿肥的腐解。</w:t>
      </w: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油菜栽培技术意见</w:t>
      </w:r>
    </w:p>
    <w:p>
      <w:pPr>
        <w:pStyle w:val="9"/>
        <w:widowControl/>
        <w:shd w:val="clear" w:color="auto" w:fill="FFFFFF"/>
        <w:spacing w:before="210" w:beforeAutospacing="0" w:after="210" w:afterAutospacing="0"/>
      </w:pPr>
      <w:r>
        <w:rPr>
          <w:rFonts w:ascii="微软雅黑" w:hAnsi="微软雅黑" w:eastAsia="微软雅黑" w:cs="微软雅黑"/>
          <w:color w:val="000000"/>
          <w:shd w:val="clear" w:color="auto" w:fill="FFFFFF"/>
        </w:rPr>
        <w:t>　</w:t>
      </w:r>
    </w:p>
    <w:p>
      <w:pPr>
        <w:spacing w:line="560" w:lineRule="exact"/>
        <w:ind w:firstLine="640" w:firstLineChars="200"/>
        <w:rPr>
          <w:rFonts w:hint="eastAsia" w:eastAsia="黑体"/>
          <w:kern w:val="0"/>
          <w:sz w:val="32"/>
          <w:szCs w:val="32"/>
          <w:lang w:val="en-US" w:eastAsia="zh-CN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 xml:space="preserve"> 一、优选品种，科学搭配茬口</w:t>
      </w:r>
    </w:p>
    <w:p>
      <w:pPr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结合前茬水稻品种，选用适宜在本地种植的高产高油、耐渍、耐密、耐迟播、抗冻、抗倒性强的品种，含油量45%（干基）以上，亩产潜力200公斤以上，充分发挥产油量优势；根肿病重发区可选用抗根肿病的高产高油新品种，结合无菌土育苗、适期晚播、氰氨化钙基施等综合防控技术，严控根肿病发生和蔓延。</w:t>
      </w:r>
    </w:p>
    <w:p>
      <w:pPr>
        <w:spacing w:line="560" w:lineRule="exact"/>
        <w:ind w:firstLine="640" w:firstLineChars="200"/>
        <w:rPr>
          <w:rFonts w:hint="eastAsia" w:eastAsia="黑体"/>
          <w:kern w:val="0"/>
          <w:sz w:val="32"/>
          <w:szCs w:val="32"/>
          <w:lang w:val="en-US" w:eastAsia="zh-CN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 xml:space="preserve"> 二、强化精细整地，提高机械耕整地质量</w:t>
      </w:r>
    </w:p>
    <w:p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一是做好秸秆处理。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水稻收获前7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10天排水晒田，利于水稻脱水成熟并降低土壤含水量。有条件的地区推荐秸秆打捆离田模式，减少还田秸秆量；没有条件的地区应采用低桩收割秸秆粉碎技术，减少田间秸秆覆盖。</w:t>
      </w: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二是隔年铧犁深翻。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建议每2年采用大马力拖拉机用铧犁耕翻一次，实现秸秆、杂草种子和病原深埋，打破土壤紧实板结，提高防渍能力，增加土壤有机质。</w:t>
      </w: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三是加强精细整地。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墒情适宜及时旋耕破碎土壤，形成疏松平整种床，在开好“三沟”基础上，注重增开田外的外排水沟，确保外排沟与田间围沟的高差不低于0.5米，实现排灌畅通，减轻渍害。</w:t>
      </w:r>
    </w:p>
    <w:p>
      <w:pPr>
        <w:spacing w:line="560" w:lineRule="exact"/>
        <w:ind w:firstLine="640" w:firstLineChars="200"/>
        <w:rPr>
          <w:rFonts w:hint="eastAsia" w:eastAsia="黑体"/>
          <w:kern w:val="0"/>
          <w:sz w:val="32"/>
          <w:szCs w:val="32"/>
          <w:lang w:val="en-US" w:eastAsia="zh-CN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>三、坚持适期播栽，多项调控，合理播栽密度</w:t>
      </w:r>
    </w:p>
    <w:p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直播油菜：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应在10月25日前，最迟不晚于11月5日播种。采用机条播的在9月底前播种田块建议亩用种量150克，10月1日至10月15日亩用种量150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200克，10月16日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10月20日亩用种量为200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250克，10月21日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31日亩用种量为250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350克；基本苗控制在3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4万株为佳；播种时根据土壤墒情、千粒重、天气灵活调节用种量。无人机飞播和迟播油菜考虑到出苗率、鸟害等问题需适当增加20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30%用种量。有条件的可推广种子包衣或拌种，多元种肥与包衣或拌种种子混合同播，确保播种行距25厘米左右，株距6厘米左右，播种深度1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1.5厘米。直播油菜播种量大，出苗多，应及时做好间苗、定苗工作，一般在齐苗后和2叶期进行间苗，4叶期后定苗。间、定苗掌握“删密留稀、去病留健、弃小留大”的原则。</w:t>
      </w:r>
    </w:p>
    <w:p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移栽油菜：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播种应在9月25日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10月初，一般每亩（按大田）播种量0.1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0.15公斤；做到稀播匀播，每亩秧田留苗密度约7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8万株。播种时均匀稀播，保证秧苗生长环境适宜，防止“高脚苗”、瘦弱苗的发生。秧田期管理中，务必将多效唑应用作为一项培育壮苗的常规措施加以落实，控制秧苗生长，提高秧苗素质。使用方法：油菜3叶1心时，亩用15%多效唑可湿性粉剂50克，兑水50公斤叶面喷雾；遇干旱天气，结合抗旱增加兑水量至75公斤。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移栽油菜适宜移栽期为11月5日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11月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15日。此期移栽的油菜，一般较少发生早苔早花现象，可在一定程度上防止或减轻倒春寒对油菜生长的负面影响。一般大田移栽密度每亩6000株左右。移栽时应分级分批，大苗先栽，小苗后栽，方便大田管理。移栽应避开大雨天气，做到根直苗正、带肥移栽；移栽后及时查苗补缺。</w:t>
      </w:r>
    </w:p>
    <w:p>
      <w:pPr>
        <w:spacing w:line="560" w:lineRule="exact"/>
        <w:ind w:firstLine="640" w:firstLineChars="200"/>
        <w:rPr>
          <w:rFonts w:hint="eastAsia" w:eastAsia="黑体"/>
          <w:kern w:val="0"/>
          <w:sz w:val="32"/>
          <w:szCs w:val="32"/>
          <w:lang w:val="en-US" w:eastAsia="zh-CN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>四、科学施肥，提高单产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油菜具有株型高大、春发势强的特点，肥料运筹上应严格掌握“施足底肥（随根肥），早施苗肥/活棵肥，补施冬腊肥，普施重施蕾苔肥”的施肥原则，通过科学合理施肥，协调营养生长和生殖生长的关系，调节株型，促使油菜冬春双发，稳健生长，增枝增角增粒。一般建议油菜一生纯氮使用量16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18公斤/亩，生产中应重视底肥施用；及时追施苗肥或活棵肥；蕾苔肥施用时间提前至初苔期，防止油菜春发势过猛，导致营养生长失衡和出现后期早衰。同时，注重硼肥的施用，提高油菜的开花结实率。在角果初期可结合防治菌核病增施硫酸镁0.2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0.3公斤/亩和速效硼肥50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100克/亩。</w:t>
      </w:r>
    </w:p>
    <w:p>
      <w:pPr>
        <w:spacing w:line="560" w:lineRule="exact"/>
        <w:ind w:firstLine="643" w:firstLineChars="200"/>
        <w:rPr>
          <w:rFonts w:hint="eastAsia" w:ascii="仿宋_GB2312" w:hAnsi="黑体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1、直播油菜施肥建议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底肥：推荐使用40公斤左右三元含硼配方肥或缓释肥作基肥，折合纯氮8～10公斤。配方肥若不含硼或含硼量不足时，基肥补充硼砂0.5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0.6公斤/亩。有条件的可增施商品有机肥100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200公斤，酌情减施20%化肥。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苗肥：在油菜3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5叶期追施尿素5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7.5公斤/亩；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腊肥：在冬至前后视苗情长势（12月下旬至1月上旬）施尿素3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5公斤/亩；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蕾苔肥：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在初苔期视田间墒情追施高氮钾型复合肥10公斤/亩或尿素5-6公斤/亩和氯化钾3-4公斤/亩。</w:t>
      </w:r>
    </w:p>
    <w:p>
      <w:pPr>
        <w:spacing w:line="560" w:lineRule="exact"/>
        <w:ind w:firstLine="643" w:firstLineChars="200"/>
        <w:rPr>
          <w:rFonts w:hint="eastAsia" w:ascii="仿宋_GB2312" w:hAnsi="黑体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2、移栽油菜施肥建议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底肥：推荐使用30公斤三元含硼配方肥或缓释肥作基肥，折合纯氮6～8公斤。配方肥若不含硼或含硼量不足时，基肥补充硼砂0.5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0.6公斤/亩。有条件的可增施商品有机肥100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200公斤，酌情减施20%化肥。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活棵肥：在油菜活棵后及时追施尿素5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6公斤/亩；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腊肥：在冬至前后（12月下旬至1月上旬）施尿素3</w:t>
      </w:r>
      <w:r>
        <w:rPr>
          <w:rFonts w:hint="eastAsia" w:ascii="仿宋_GB2312" w:hAnsi="黑体" w:eastAsia="仿宋_GB2312"/>
          <w:sz w:val="32"/>
          <w:szCs w:val="32"/>
        </w:rPr>
        <w:t>～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5公斤/亩；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蕾苔肥：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在初苔期视田间墒情追施高氮钾型复合肥10公斤/亩或尿素5-6公斤/亩和氯化钾3-4公斤/亩。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通过科学合理施肥，协调营养生长和生殖生长的关系，调节株型，保证油菜冬春双发，稳健生长，增枝增角增粒。对旺长田块，适时喷施多效唑或烯效唑，控旺促壮，增强抗逆性。</w:t>
      </w:r>
    </w:p>
    <w:p>
      <w:pPr>
        <w:spacing w:line="560" w:lineRule="exact"/>
        <w:ind w:firstLine="640" w:firstLineChars="200"/>
        <w:rPr>
          <w:rFonts w:hint="eastAsia" w:eastAsia="黑体"/>
          <w:kern w:val="0"/>
          <w:sz w:val="32"/>
          <w:szCs w:val="32"/>
          <w:lang w:val="en-US" w:eastAsia="zh-CN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>五、加强大田管理，强化防灾减灾，实现丰产丰收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油菜大田生长阶段是主要的生长和产量形成阶段，而大田生长期长，经历秋、冬、春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三个季节，期间气候变化较大，遭遇不利因素较多。为争取高产，应立足抗灾、精心管理，抓好以下几项主要技术措施。</w:t>
      </w:r>
    </w:p>
    <w:p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1、防范气象灾害。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防渍害。播种后提前清除沟中杂物，保证“三沟”畅通。对于已经发生渍害的田块，要及时喷施生长调节剂，增施速效氮肥和磷钾肥促进油菜恢复生长，减轻灾害损失。抗干旱。应提早清理沟系，发生干旱时，及时灌水，同时可通过叶面喷施抗逆调节剂增强植株抗旱能力。防冻害。寒潮来临前，通过叶面喷施赤霉素、芸苔素内酯等提高抗冻性。寒潮过后，及时察看苗情，对受冻田块及时采取补救措施。</w:t>
      </w:r>
    </w:p>
    <w:p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2、早防病虫草害。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建议采用种子包衣等方式，有效预防油菜秋季病虫害发生，同时控制冬前黄曲跳甲、蚜虫、小菜蛾等发生基数。草害防治坚持“封杀结合、以密防草、治早治小、减量控害”的原则。油菜花角期病害主要是菌核病和病毒病。初花期开展“一促四防”，叶面喷施硼肥、磷酸二氢钾、杀菌剂、二氢卟吩铁等，防油菜菌核病、防“花而不实”、防早衰、防高温逼熟，增加角果数和粒重。具体各阶段防治措施和方法，按植保部门防治意见执行。</w:t>
      </w:r>
    </w:p>
    <w:p>
      <w:pPr>
        <w:spacing w:line="560" w:lineRule="exact"/>
        <w:ind w:firstLine="643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3、适时收割。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适宜的收获期是当全田80％左右的果实呈黄色，主轴大部分角果籽粒呈黑褐色时即可收割，在收割和搬运过程中要轻割轻放，减少裂果造成损失。</w:t>
      </w:r>
    </w:p>
    <w:sectPr>
      <w:footerReference r:id="rId3" w:type="default"/>
      <w:footerReference r:id="rId4" w:type="even"/>
      <w:pgSz w:w="11906" w:h="16838"/>
      <w:pgMar w:top="1474" w:right="1587" w:bottom="1474" w:left="158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FC22BF-2EF6-4DFE-BBC1-5DB6B9CF3B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5A4A008-B6BC-4F2B-A4C1-68C54A2AB7FA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0E249E3-8181-4BDD-A7DD-8C4B48784BD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690AEF94-194D-47F5-AB55-DD7D859744C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2</w:t>
    </w:r>
    <w:r>
      <w:rPr>
        <w:rStyle w:val="13"/>
      </w:rPr>
      <w:fldChar w:fldCharType="end"/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0BB7CDF"/>
    <w:rsid w:val="00000994"/>
    <w:rsid w:val="000016EE"/>
    <w:rsid w:val="00004E4E"/>
    <w:rsid w:val="00020A17"/>
    <w:rsid w:val="00023351"/>
    <w:rsid w:val="0002496A"/>
    <w:rsid w:val="000272FF"/>
    <w:rsid w:val="00030430"/>
    <w:rsid w:val="00035FE6"/>
    <w:rsid w:val="0003738B"/>
    <w:rsid w:val="00045D1A"/>
    <w:rsid w:val="0005739F"/>
    <w:rsid w:val="0005743B"/>
    <w:rsid w:val="00060873"/>
    <w:rsid w:val="000623A0"/>
    <w:rsid w:val="000650A5"/>
    <w:rsid w:val="00067856"/>
    <w:rsid w:val="000749A8"/>
    <w:rsid w:val="00081901"/>
    <w:rsid w:val="00082412"/>
    <w:rsid w:val="00084C77"/>
    <w:rsid w:val="00085A39"/>
    <w:rsid w:val="00090728"/>
    <w:rsid w:val="0009419F"/>
    <w:rsid w:val="00095B90"/>
    <w:rsid w:val="000A46FD"/>
    <w:rsid w:val="000A4A20"/>
    <w:rsid w:val="000B6BFB"/>
    <w:rsid w:val="000C028C"/>
    <w:rsid w:val="000C0BB3"/>
    <w:rsid w:val="000C13B4"/>
    <w:rsid w:val="000C2DE1"/>
    <w:rsid w:val="000C37AA"/>
    <w:rsid w:val="000D0B5D"/>
    <w:rsid w:val="000D0BC6"/>
    <w:rsid w:val="000D1220"/>
    <w:rsid w:val="000E4A83"/>
    <w:rsid w:val="000F0A8A"/>
    <w:rsid w:val="000F4727"/>
    <w:rsid w:val="000F77AD"/>
    <w:rsid w:val="00107DB9"/>
    <w:rsid w:val="00111F97"/>
    <w:rsid w:val="00113C5F"/>
    <w:rsid w:val="00114973"/>
    <w:rsid w:val="00120011"/>
    <w:rsid w:val="001221FC"/>
    <w:rsid w:val="001269AA"/>
    <w:rsid w:val="0013217A"/>
    <w:rsid w:val="00133E97"/>
    <w:rsid w:val="00144AAF"/>
    <w:rsid w:val="0016678C"/>
    <w:rsid w:val="0017086D"/>
    <w:rsid w:val="00172B36"/>
    <w:rsid w:val="0017464A"/>
    <w:rsid w:val="00175FCE"/>
    <w:rsid w:val="001811D0"/>
    <w:rsid w:val="00181FBF"/>
    <w:rsid w:val="00185CAD"/>
    <w:rsid w:val="0019055D"/>
    <w:rsid w:val="00195EFF"/>
    <w:rsid w:val="0019730E"/>
    <w:rsid w:val="001A7BC0"/>
    <w:rsid w:val="001B1E0F"/>
    <w:rsid w:val="001C385C"/>
    <w:rsid w:val="001C3BF7"/>
    <w:rsid w:val="001C739B"/>
    <w:rsid w:val="001E6632"/>
    <w:rsid w:val="001E6E71"/>
    <w:rsid w:val="001F2DBD"/>
    <w:rsid w:val="001F71AA"/>
    <w:rsid w:val="00201956"/>
    <w:rsid w:val="00202160"/>
    <w:rsid w:val="00207C68"/>
    <w:rsid w:val="00211D75"/>
    <w:rsid w:val="00213A10"/>
    <w:rsid w:val="00223F70"/>
    <w:rsid w:val="0022596F"/>
    <w:rsid w:val="0023086D"/>
    <w:rsid w:val="00236BF0"/>
    <w:rsid w:val="00260901"/>
    <w:rsid w:val="00262E68"/>
    <w:rsid w:val="00263409"/>
    <w:rsid w:val="002766C3"/>
    <w:rsid w:val="00284630"/>
    <w:rsid w:val="0029341B"/>
    <w:rsid w:val="00297F49"/>
    <w:rsid w:val="002A7EC0"/>
    <w:rsid w:val="002B0C25"/>
    <w:rsid w:val="002B76C7"/>
    <w:rsid w:val="002C2311"/>
    <w:rsid w:val="002C2EEC"/>
    <w:rsid w:val="002C5A3F"/>
    <w:rsid w:val="002E3F7E"/>
    <w:rsid w:val="002E44A8"/>
    <w:rsid w:val="002E5421"/>
    <w:rsid w:val="002F3816"/>
    <w:rsid w:val="002F50DC"/>
    <w:rsid w:val="003000D5"/>
    <w:rsid w:val="00301EA6"/>
    <w:rsid w:val="00305C91"/>
    <w:rsid w:val="00310616"/>
    <w:rsid w:val="00312B2F"/>
    <w:rsid w:val="003156FC"/>
    <w:rsid w:val="00332D8F"/>
    <w:rsid w:val="00332F2B"/>
    <w:rsid w:val="0034101F"/>
    <w:rsid w:val="00350741"/>
    <w:rsid w:val="0035367A"/>
    <w:rsid w:val="0035407A"/>
    <w:rsid w:val="00360011"/>
    <w:rsid w:val="00362743"/>
    <w:rsid w:val="00362BBF"/>
    <w:rsid w:val="0037722B"/>
    <w:rsid w:val="00381997"/>
    <w:rsid w:val="00381EE0"/>
    <w:rsid w:val="003867CB"/>
    <w:rsid w:val="00391D58"/>
    <w:rsid w:val="00394BD1"/>
    <w:rsid w:val="003A2DA6"/>
    <w:rsid w:val="003A3A01"/>
    <w:rsid w:val="003A3E1F"/>
    <w:rsid w:val="003A4134"/>
    <w:rsid w:val="003B07DC"/>
    <w:rsid w:val="003B1CA4"/>
    <w:rsid w:val="003B75BF"/>
    <w:rsid w:val="003C4E29"/>
    <w:rsid w:val="003C5B6A"/>
    <w:rsid w:val="003D5BBD"/>
    <w:rsid w:val="003E1153"/>
    <w:rsid w:val="003E47E0"/>
    <w:rsid w:val="003E6C0A"/>
    <w:rsid w:val="003E73C0"/>
    <w:rsid w:val="00402795"/>
    <w:rsid w:val="0040367E"/>
    <w:rsid w:val="004063F5"/>
    <w:rsid w:val="0041053A"/>
    <w:rsid w:val="00420452"/>
    <w:rsid w:val="00421733"/>
    <w:rsid w:val="00421E92"/>
    <w:rsid w:val="00423FD1"/>
    <w:rsid w:val="00425F95"/>
    <w:rsid w:val="00432658"/>
    <w:rsid w:val="00440CC2"/>
    <w:rsid w:val="004444B5"/>
    <w:rsid w:val="00444699"/>
    <w:rsid w:val="00444C04"/>
    <w:rsid w:val="0044500E"/>
    <w:rsid w:val="00446ED4"/>
    <w:rsid w:val="004578FF"/>
    <w:rsid w:val="00462B55"/>
    <w:rsid w:val="00462EF0"/>
    <w:rsid w:val="00464685"/>
    <w:rsid w:val="004664FB"/>
    <w:rsid w:val="00482EFA"/>
    <w:rsid w:val="00483D8C"/>
    <w:rsid w:val="004867AA"/>
    <w:rsid w:val="00490FA6"/>
    <w:rsid w:val="004929FD"/>
    <w:rsid w:val="00493810"/>
    <w:rsid w:val="004973FA"/>
    <w:rsid w:val="004A22CF"/>
    <w:rsid w:val="004A3746"/>
    <w:rsid w:val="004A43ED"/>
    <w:rsid w:val="004B503D"/>
    <w:rsid w:val="004B5562"/>
    <w:rsid w:val="004B7542"/>
    <w:rsid w:val="004C1DA6"/>
    <w:rsid w:val="004D16C9"/>
    <w:rsid w:val="004D1E6F"/>
    <w:rsid w:val="004D445D"/>
    <w:rsid w:val="004D5005"/>
    <w:rsid w:val="004D76FA"/>
    <w:rsid w:val="004E3D7D"/>
    <w:rsid w:val="004E6B96"/>
    <w:rsid w:val="004E7957"/>
    <w:rsid w:val="004F4707"/>
    <w:rsid w:val="004F65D2"/>
    <w:rsid w:val="004F720B"/>
    <w:rsid w:val="0050575F"/>
    <w:rsid w:val="0051063F"/>
    <w:rsid w:val="00522923"/>
    <w:rsid w:val="005255D3"/>
    <w:rsid w:val="00525F5A"/>
    <w:rsid w:val="005261E0"/>
    <w:rsid w:val="00527B18"/>
    <w:rsid w:val="00533889"/>
    <w:rsid w:val="005338FB"/>
    <w:rsid w:val="00537D31"/>
    <w:rsid w:val="00541D79"/>
    <w:rsid w:val="00547EB4"/>
    <w:rsid w:val="00550C9E"/>
    <w:rsid w:val="00551448"/>
    <w:rsid w:val="005607CA"/>
    <w:rsid w:val="00561D3F"/>
    <w:rsid w:val="005639AD"/>
    <w:rsid w:val="00565267"/>
    <w:rsid w:val="00565F6D"/>
    <w:rsid w:val="00570A89"/>
    <w:rsid w:val="0057225F"/>
    <w:rsid w:val="00580BDB"/>
    <w:rsid w:val="0058209D"/>
    <w:rsid w:val="00592198"/>
    <w:rsid w:val="005B0028"/>
    <w:rsid w:val="005B1FB1"/>
    <w:rsid w:val="005B3A8D"/>
    <w:rsid w:val="005B4E0A"/>
    <w:rsid w:val="005B65F4"/>
    <w:rsid w:val="005C0259"/>
    <w:rsid w:val="005C0E73"/>
    <w:rsid w:val="005C23E8"/>
    <w:rsid w:val="005C2AAE"/>
    <w:rsid w:val="005C5951"/>
    <w:rsid w:val="005D6988"/>
    <w:rsid w:val="005E4B4F"/>
    <w:rsid w:val="005F0758"/>
    <w:rsid w:val="005F07D0"/>
    <w:rsid w:val="005F3C0C"/>
    <w:rsid w:val="00605007"/>
    <w:rsid w:val="0060532F"/>
    <w:rsid w:val="006150E0"/>
    <w:rsid w:val="006165C8"/>
    <w:rsid w:val="00621D16"/>
    <w:rsid w:val="006255F9"/>
    <w:rsid w:val="00626ED8"/>
    <w:rsid w:val="00632CAE"/>
    <w:rsid w:val="00634FB3"/>
    <w:rsid w:val="00635426"/>
    <w:rsid w:val="006371DF"/>
    <w:rsid w:val="00650E98"/>
    <w:rsid w:val="00660307"/>
    <w:rsid w:val="006628DC"/>
    <w:rsid w:val="006644DF"/>
    <w:rsid w:val="006647E9"/>
    <w:rsid w:val="006648F7"/>
    <w:rsid w:val="00667ECA"/>
    <w:rsid w:val="00673082"/>
    <w:rsid w:val="0067372F"/>
    <w:rsid w:val="00675E47"/>
    <w:rsid w:val="00683438"/>
    <w:rsid w:val="006851F6"/>
    <w:rsid w:val="00686A87"/>
    <w:rsid w:val="006874A6"/>
    <w:rsid w:val="006A1EF3"/>
    <w:rsid w:val="006B07C3"/>
    <w:rsid w:val="006C12B8"/>
    <w:rsid w:val="006C34EC"/>
    <w:rsid w:val="006D0294"/>
    <w:rsid w:val="006D3C62"/>
    <w:rsid w:val="006D72D7"/>
    <w:rsid w:val="006D7E27"/>
    <w:rsid w:val="006F13B2"/>
    <w:rsid w:val="006F3FC7"/>
    <w:rsid w:val="006F41EB"/>
    <w:rsid w:val="006F5822"/>
    <w:rsid w:val="006F7B2B"/>
    <w:rsid w:val="00705A72"/>
    <w:rsid w:val="007063DF"/>
    <w:rsid w:val="00712819"/>
    <w:rsid w:val="00714179"/>
    <w:rsid w:val="00721799"/>
    <w:rsid w:val="007339ED"/>
    <w:rsid w:val="00734B70"/>
    <w:rsid w:val="00736498"/>
    <w:rsid w:val="00740806"/>
    <w:rsid w:val="00743725"/>
    <w:rsid w:val="007455B0"/>
    <w:rsid w:val="00750EBB"/>
    <w:rsid w:val="00752986"/>
    <w:rsid w:val="00753B48"/>
    <w:rsid w:val="00753D56"/>
    <w:rsid w:val="007652F2"/>
    <w:rsid w:val="00773659"/>
    <w:rsid w:val="00780F9E"/>
    <w:rsid w:val="00787930"/>
    <w:rsid w:val="00793123"/>
    <w:rsid w:val="00793207"/>
    <w:rsid w:val="00793CA6"/>
    <w:rsid w:val="00793FD3"/>
    <w:rsid w:val="007B4E13"/>
    <w:rsid w:val="007C035C"/>
    <w:rsid w:val="007C05C9"/>
    <w:rsid w:val="007C10CD"/>
    <w:rsid w:val="007C42CF"/>
    <w:rsid w:val="007C7915"/>
    <w:rsid w:val="007E0E02"/>
    <w:rsid w:val="007E691F"/>
    <w:rsid w:val="007F1F19"/>
    <w:rsid w:val="007F4913"/>
    <w:rsid w:val="007F49DE"/>
    <w:rsid w:val="007F562A"/>
    <w:rsid w:val="007F5A03"/>
    <w:rsid w:val="007F71C9"/>
    <w:rsid w:val="00803094"/>
    <w:rsid w:val="008042FE"/>
    <w:rsid w:val="008067B2"/>
    <w:rsid w:val="00806866"/>
    <w:rsid w:val="00806C54"/>
    <w:rsid w:val="008219BB"/>
    <w:rsid w:val="008231FF"/>
    <w:rsid w:val="00827412"/>
    <w:rsid w:val="00830018"/>
    <w:rsid w:val="0083289E"/>
    <w:rsid w:val="00832B64"/>
    <w:rsid w:val="008331E9"/>
    <w:rsid w:val="00834122"/>
    <w:rsid w:val="00845075"/>
    <w:rsid w:val="00845630"/>
    <w:rsid w:val="00845B88"/>
    <w:rsid w:val="008519AC"/>
    <w:rsid w:val="008523CC"/>
    <w:rsid w:val="008561EF"/>
    <w:rsid w:val="008603C3"/>
    <w:rsid w:val="00860CC6"/>
    <w:rsid w:val="00867F5E"/>
    <w:rsid w:val="00875B79"/>
    <w:rsid w:val="00875FFD"/>
    <w:rsid w:val="008764E5"/>
    <w:rsid w:val="008770A2"/>
    <w:rsid w:val="00877A98"/>
    <w:rsid w:val="0088205B"/>
    <w:rsid w:val="00895188"/>
    <w:rsid w:val="00896861"/>
    <w:rsid w:val="008A36F8"/>
    <w:rsid w:val="008A783D"/>
    <w:rsid w:val="008B577E"/>
    <w:rsid w:val="008C0A08"/>
    <w:rsid w:val="008C1DFD"/>
    <w:rsid w:val="008C204C"/>
    <w:rsid w:val="008C5C6C"/>
    <w:rsid w:val="008D0DE0"/>
    <w:rsid w:val="008D131D"/>
    <w:rsid w:val="008D7220"/>
    <w:rsid w:val="008E3AFA"/>
    <w:rsid w:val="008F3A8B"/>
    <w:rsid w:val="008F4FA2"/>
    <w:rsid w:val="008F6F4C"/>
    <w:rsid w:val="008F7758"/>
    <w:rsid w:val="0090089F"/>
    <w:rsid w:val="00900CA4"/>
    <w:rsid w:val="009015F3"/>
    <w:rsid w:val="00903878"/>
    <w:rsid w:val="00914A1D"/>
    <w:rsid w:val="0092042D"/>
    <w:rsid w:val="009216F7"/>
    <w:rsid w:val="0092644F"/>
    <w:rsid w:val="00930E02"/>
    <w:rsid w:val="009315C4"/>
    <w:rsid w:val="00936F21"/>
    <w:rsid w:val="0094160D"/>
    <w:rsid w:val="009417E8"/>
    <w:rsid w:val="00942FAC"/>
    <w:rsid w:val="009445A6"/>
    <w:rsid w:val="00947FE3"/>
    <w:rsid w:val="00955F33"/>
    <w:rsid w:val="0096123B"/>
    <w:rsid w:val="00971761"/>
    <w:rsid w:val="00976148"/>
    <w:rsid w:val="00980AD1"/>
    <w:rsid w:val="00983379"/>
    <w:rsid w:val="009861B9"/>
    <w:rsid w:val="0098626B"/>
    <w:rsid w:val="00986400"/>
    <w:rsid w:val="00987520"/>
    <w:rsid w:val="009879C7"/>
    <w:rsid w:val="00992E40"/>
    <w:rsid w:val="009A4B81"/>
    <w:rsid w:val="009A6C32"/>
    <w:rsid w:val="009B1014"/>
    <w:rsid w:val="009B2580"/>
    <w:rsid w:val="009C293E"/>
    <w:rsid w:val="009C5955"/>
    <w:rsid w:val="009C7AF2"/>
    <w:rsid w:val="009D2863"/>
    <w:rsid w:val="009D60C6"/>
    <w:rsid w:val="009E1D71"/>
    <w:rsid w:val="009E5376"/>
    <w:rsid w:val="009E568B"/>
    <w:rsid w:val="009F18DC"/>
    <w:rsid w:val="009F1AE7"/>
    <w:rsid w:val="009F4687"/>
    <w:rsid w:val="00A2518D"/>
    <w:rsid w:val="00A2687B"/>
    <w:rsid w:val="00A2709F"/>
    <w:rsid w:val="00A2775B"/>
    <w:rsid w:val="00A31DA4"/>
    <w:rsid w:val="00A34681"/>
    <w:rsid w:val="00A35F5D"/>
    <w:rsid w:val="00A45661"/>
    <w:rsid w:val="00A570FE"/>
    <w:rsid w:val="00A60BA5"/>
    <w:rsid w:val="00A90C97"/>
    <w:rsid w:val="00A91D0F"/>
    <w:rsid w:val="00A92214"/>
    <w:rsid w:val="00A96560"/>
    <w:rsid w:val="00AC57B8"/>
    <w:rsid w:val="00AC7A8A"/>
    <w:rsid w:val="00AD1956"/>
    <w:rsid w:val="00AD1B2A"/>
    <w:rsid w:val="00AD39F8"/>
    <w:rsid w:val="00AD58AE"/>
    <w:rsid w:val="00AD5E3A"/>
    <w:rsid w:val="00AE119D"/>
    <w:rsid w:val="00AE5AF2"/>
    <w:rsid w:val="00AE74F8"/>
    <w:rsid w:val="00AF0400"/>
    <w:rsid w:val="00AF1007"/>
    <w:rsid w:val="00AF1876"/>
    <w:rsid w:val="00AF1A27"/>
    <w:rsid w:val="00AF7139"/>
    <w:rsid w:val="00AF7CA2"/>
    <w:rsid w:val="00B01E5C"/>
    <w:rsid w:val="00B06A7B"/>
    <w:rsid w:val="00B13783"/>
    <w:rsid w:val="00B24A9E"/>
    <w:rsid w:val="00B258DF"/>
    <w:rsid w:val="00B26275"/>
    <w:rsid w:val="00B32620"/>
    <w:rsid w:val="00B35500"/>
    <w:rsid w:val="00B37123"/>
    <w:rsid w:val="00B4193E"/>
    <w:rsid w:val="00B42006"/>
    <w:rsid w:val="00B424BF"/>
    <w:rsid w:val="00B44AEC"/>
    <w:rsid w:val="00B5185B"/>
    <w:rsid w:val="00B55F65"/>
    <w:rsid w:val="00B660CD"/>
    <w:rsid w:val="00B66153"/>
    <w:rsid w:val="00B72767"/>
    <w:rsid w:val="00B72F47"/>
    <w:rsid w:val="00B73968"/>
    <w:rsid w:val="00B74E8C"/>
    <w:rsid w:val="00B84D9C"/>
    <w:rsid w:val="00B906B1"/>
    <w:rsid w:val="00B919FA"/>
    <w:rsid w:val="00B91D5C"/>
    <w:rsid w:val="00B92A4D"/>
    <w:rsid w:val="00BA209E"/>
    <w:rsid w:val="00BA32A9"/>
    <w:rsid w:val="00BA4575"/>
    <w:rsid w:val="00BA7B2B"/>
    <w:rsid w:val="00BB4F86"/>
    <w:rsid w:val="00BB7CDF"/>
    <w:rsid w:val="00BC0F21"/>
    <w:rsid w:val="00BC7858"/>
    <w:rsid w:val="00BD3A5E"/>
    <w:rsid w:val="00BD4739"/>
    <w:rsid w:val="00BD61B4"/>
    <w:rsid w:val="00BD67A7"/>
    <w:rsid w:val="00BE337C"/>
    <w:rsid w:val="00BE4153"/>
    <w:rsid w:val="00BE4EFD"/>
    <w:rsid w:val="00BE54D5"/>
    <w:rsid w:val="00BF4214"/>
    <w:rsid w:val="00BF6DDA"/>
    <w:rsid w:val="00C031A3"/>
    <w:rsid w:val="00C03236"/>
    <w:rsid w:val="00C054CF"/>
    <w:rsid w:val="00C05E6C"/>
    <w:rsid w:val="00C06FE7"/>
    <w:rsid w:val="00C14522"/>
    <w:rsid w:val="00C16647"/>
    <w:rsid w:val="00C20A68"/>
    <w:rsid w:val="00C25F33"/>
    <w:rsid w:val="00C332EA"/>
    <w:rsid w:val="00C349E6"/>
    <w:rsid w:val="00C34B95"/>
    <w:rsid w:val="00C364F7"/>
    <w:rsid w:val="00C37098"/>
    <w:rsid w:val="00C3720D"/>
    <w:rsid w:val="00C439D3"/>
    <w:rsid w:val="00C64675"/>
    <w:rsid w:val="00C747A5"/>
    <w:rsid w:val="00C76B1A"/>
    <w:rsid w:val="00C92875"/>
    <w:rsid w:val="00C976F6"/>
    <w:rsid w:val="00CA0686"/>
    <w:rsid w:val="00CB2B59"/>
    <w:rsid w:val="00CB5BD9"/>
    <w:rsid w:val="00CB6AC8"/>
    <w:rsid w:val="00CC2B04"/>
    <w:rsid w:val="00CD348F"/>
    <w:rsid w:val="00CD39F6"/>
    <w:rsid w:val="00CD5A23"/>
    <w:rsid w:val="00CD7BC1"/>
    <w:rsid w:val="00CE0D7B"/>
    <w:rsid w:val="00CF416D"/>
    <w:rsid w:val="00CF7052"/>
    <w:rsid w:val="00D03DF1"/>
    <w:rsid w:val="00D054BB"/>
    <w:rsid w:val="00D05859"/>
    <w:rsid w:val="00D12F51"/>
    <w:rsid w:val="00D130FF"/>
    <w:rsid w:val="00D14BFC"/>
    <w:rsid w:val="00D20239"/>
    <w:rsid w:val="00D36475"/>
    <w:rsid w:val="00D41C5F"/>
    <w:rsid w:val="00D46AF0"/>
    <w:rsid w:val="00D470DD"/>
    <w:rsid w:val="00D56F6C"/>
    <w:rsid w:val="00D577C0"/>
    <w:rsid w:val="00D60CB7"/>
    <w:rsid w:val="00D6217D"/>
    <w:rsid w:val="00D6386E"/>
    <w:rsid w:val="00D657EB"/>
    <w:rsid w:val="00D66AD6"/>
    <w:rsid w:val="00D72617"/>
    <w:rsid w:val="00D73220"/>
    <w:rsid w:val="00D7447A"/>
    <w:rsid w:val="00D82188"/>
    <w:rsid w:val="00D82529"/>
    <w:rsid w:val="00D94B48"/>
    <w:rsid w:val="00DA5451"/>
    <w:rsid w:val="00DB14B1"/>
    <w:rsid w:val="00DB312C"/>
    <w:rsid w:val="00DB6BCB"/>
    <w:rsid w:val="00DC0B53"/>
    <w:rsid w:val="00DC1023"/>
    <w:rsid w:val="00DC5251"/>
    <w:rsid w:val="00DC5E22"/>
    <w:rsid w:val="00DD1684"/>
    <w:rsid w:val="00DD4DC4"/>
    <w:rsid w:val="00DE2984"/>
    <w:rsid w:val="00DF123B"/>
    <w:rsid w:val="00DF3097"/>
    <w:rsid w:val="00DF711D"/>
    <w:rsid w:val="00DF7E64"/>
    <w:rsid w:val="00E01441"/>
    <w:rsid w:val="00E074BD"/>
    <w:rsid w:val="00E10A0A"/>
    <w:rsid w:val="00E20800"/>
    <w:rsid w:val="00E25B9C"/>
    <w:rsid w:val="00E323DE"/>
    <w:rsid w:val="00E34BAC"/>
    <w:rsid w:val="00E377AF"/>
    <w:rsid w:val="00E476C2"/>
    <w:rsid w:val="00E53C4F"/>
    <w:rsid w:val="00E53C7B"/>
    <w:rsid w:val="00E5443D"/>
    <w:rsid w:val="00E552A4"/>
    <w:rsid w:val="00E57130"/>
    <w:rsid w:val="00E73A36"/>
    <w:rsid w:val="00E73F38"/>
    <w:rsid w:val="00E75531"/>
    <w:rsid w:val="00E818C7"/>
    <w:rsid w:val="00E846C8"/>
    <w:rsid w:val="00E91050"/>
    <w:rsid w:val="00E9390A"/>
    <w:rsid w:val="00E9414B"/>
    <w:rsid w:val="00E9532B"/>
    <w:rsid w:val="00E97DE0"/>
    <w:rsid w:val="00EA0558"/>
    <w:rsid w:val="00EB02A9"/>
    <w:rsid w:val="00EB224A"/>
    <w:rsid w:val="00EB362A"/>
    <w:rsid w:val="00EC67A4"/>
    <w:rsid w:val="00ED3FE9"/>
    <w:rsid w:val="00ED7D75"/>
    <w:rsid w:val="00EE0431"/>
    <w:rsid w:val="00EE27DE"/>
    <w:rsid w:val="00EE3C01"/>
    <w:rsid w:val="00EE6397"/>
    <w:rsid w:val="00EF5C32"/>
    <w:rsid w:val="00F00227"/>
    <w:rsid w:val="00F11FEB"/>
    <w:rsid w:val="00F13A2B"/>
    <w:rsid w:val="00F2410D"/>
    <w:rsid w:val="00F26D5D"/>
    <w:rsid w:val="00F27095"/>
    <w:rsid w:val="00F34D06"/>
    <w:rsid w:val="00F422AF"/>
    <w:rsid w:val="00F52A94"/>
    <w:rsid w:val="00F53AC3"/>
    <w:rsid w:val="00F547DF"/>
    <w:rsid w:val="00F60330"/>
    <w:rsid w:val="00F61ACE"/>
    <w:rsid w:val="00F6371B"/>
    <w:rsid w:val="00F63CB1"/>
    <w:rsid w:val="00F772F4"/>
    <w:rsid w:val="00F80B98"/>
    <w:rsid w:val="00F81D88"/>
    <w:rsid w:val="00F84433"/>
    <w:rsid w:val="00FA1663"/>
    <w:rsid w:val="00FB04EC"/>
    <w:rsid w:val="00FB05CD"/>
    <w:rsid w:val="00FB1BC5"/>
    <w:rsid w:val="00FB6923"/>
    <w:rsid w:val="00FD3D4A"/>
    <w:rsid w:val="00FE0DD8"/>
    <w:rsid w:val="00FF11DF"/>
    <w:rsid w:val="00FF4929"/>
    <w:rsid w:val="03981F66"/>
    <w:rsid w:val="08710708"/>
    <w:rsid w:val="0B2670F5"/>
    <w:rsid w:val="0BFCAC87"/>
    <w:rsid w:val="1BFF12B0"/>
    <w:rsid w:val="1E7F6F32"/>
    <w:rsid w:val="2783B19A"/>
    <w:rsid w:val="2A600E0B"/>
    <w:rsid w:val="2EDFDF3C"/>
    <w:rsid w:val="2FCF19CE"/>
    <w:rsid w:val="2FDAC664"/>
    <w:rsid w:val="34DFDE39"/>
    <w:rsid w:val="37DA8E5E"/>
    <w:rsid w:val="37FDC134"/>
    <w:rsid w:val="3BEF228B"/>
    <w:rsid w:val="3BFE1E13"/>
    <w:rsid w:val="3DFDE87B"/>
    <w:rsid w:val="3E7F207E"/>
    <w:rsid w:val="3E7F2093"/>
    <w:rsid w:val="3EEDD0C8"/>
    <w:rsid w:val="3F35E19C"/>
    <w:rsid w:val="3FAD29D4"/>
    <w:rsid w:val="3FB6105E"/>
    <w:rsid w:val="3FDF96BB"/>
    <w:rsid w:val="3FE782DA"/>
    <w:rsid w:val="45FBD2B8"/>
    <w:rsid w:val="49FE7EE7"/>
    <w:rsid w:val="4AFEBAED"/>
    <w:rsid w:val="4BB701FA"/>
    <w:rsid w:val="4F76284E"/>
    <w:rsid w:val="4FD7FAF5"/>
    <w:rsid w:val="4FFBAEDA"/>
    <w:rsid w:val="531B14AC"/>
    <w:rsid w:val="56FE6ADB"/>
    <w:rsid w:val="5BBE4294"/>
    <w:rsid w:val="5D8E4435"/>
    <w:rsid w:val="5DB9E098"/>
    <w:rsid w:val="5DBFBE8B"/>
    <w:rsid w:val="5EA46C8A"/>
    <w:rsid w:val="5EF2F1A5"/>
    <w:rsid w:val="5EFF7352"/>
    <w:rsid w:val="5F77C50A"/>
    <w:rsid w:val="5FDEFCAB"/>
    <w:rsid w:val="5FF23595"/>
    <w:rsid w:val="5FFA321A"/>
    <w:rsid w:val="63ED63D0"/>
    <w:rsid w:val="66B546CA"/>
    <w:rsid w:val="6BF31418"/>
    <w:rsid w:val="6BF93BCF"/>
    <w:rsid w:val="6CDF43D9"/>
    <w:rsid w:val="6DF50E7E"/>
    <w:rsid w:val="6DFD1B05"/>
    <w:rsid w:val="6EF74711"/>
    <w:rsid w:val="6FED1A61"/>
    <w:rsid w:val="6FFF916B"/>
    <w:rsid w:val="6FFFB4CE"/>
    <w:rsid w:val="70FFF7F1"/>
    <w:rsid w:val="729701A1"/>
    <w:rsid w:val="72C5775B"/>
    <w:rsid w:val="73FCF3CD"/>
    <w:rsid w:val="75763F5E"/>
    <w:rsid w:val="75C91197"/>
    <w:rsid w:val="76F9930B"/>
    <w:rsid w:val="76FB2BC4"/>
    <w:rsid w:val="77272D3C"/>
    <w:rsid w:val="77F31607"/>
    <w:rsid w:val="77F7AF28"/>
    <w:rsid w:val="786F9000"/>
    <w:rsid w:val="78CEE61D"/>
    <w:rsid w:val="7967F569"/>
    <w:rsid w:val="7977698E"/>
    <w:rsid w:val="79D7531C"/>
    <w:rsid w:val="7A2F2B99"/>
    <w:rsid w:val="7A5DC34F"/>
    <w:rsid w:val="7A7BC894"/>
    <w:rsid w:val="7AC26DD8"/>
    <w:rsid w:val="7ADC838A"/>
    <w:rsid w:val="7B3D25A5"/>
    <w:rsid w:val="7BFF1EAA"/>
    <w:rsid w:val="7BFF328B"/>
    <w:rsid w:val="7C674AA7"/>
    <w:rsid w:val="7DDED531"/>
    <w:rsid w:val="7DFB4DD9"/>
    <w:rsid w:val="7DFBD934"/>
    <w:rsid w:val="7EBF1766"/>
    <w:rsid w:val="7EEF1EE5"/>
    <w:rsid w:val="7EF777E7"/>
    <w:rsid w:val="7F2F1A89"/>
    <w:rsid w:val="7F5EDF86"/>
    <w:rsid w:val="7F675369"/>
    <w:rsid w:val="7F69028B"/>
    <w:rsid w:val="7F78F9B5"/>
    <w:rsid w:val="7F7DDE69"/>
    <w:rsid w:val="7F7FED4E"/>
    <w:rsid w:val="7FBB0DDF"/>
    <w:rsid w:val="7FDAEFAD"/>
    <w:rsid w:val="7FDE6B78"/>
    <w:rsid w:val="8DFE8ACB"/>
    <w:rsid w:val="8FDFB84D"/>
    <w:rsid w:val="9ACFE66C"/>
    <w:rsid w:val="9AFFACC0"/>
    <w:rsid w:val="9BFBA788"/>
    <w:rsid w:val="A5DC0F0C"/>
    <w:rsid w:val="A9D00378"/>
    <w:rsid w:val="ABDF4C98"/>
    <w:rsid w:val="ABF8F055"/>
    <w:rsid w:val="B5FB52F0"/>
    <w:rsid w:val="B7FF0AFD"/>
    <w:rsid w:val="BBAE3E31"/>
    <w:rsid w:val="BEFE292B"/>
    <w:rsid w:val="BEFE5704"/>
    <w:rsid w:val="BEFFC7B8"/>
    <w:rsid w:val="BF6B1584"/>
    <w:rsid w:val="BF9D771B"/>
    <w:rsid w:val="BFBFCE66"/>
    <w:rsid w:val="BFEF51F5"/>
    <w:rsid w:val="BFEFAE4E"/>
    <w:rsid w:val="BFFB4BEF"/>
    <w:rsid w:val="C26FB9DC"/>
    <w:rsid w:val="C6EC7108"/>
    <w:rsid w:val="CBDF8008"/>
    <w:rsid w:val="CD76D2D8"/>
    <w:rsid w:val="CE5F519C"/>
    <w:rsid w:val="CF4DDFB4"/>
    <w:rsid w:val="D39E1DA8"/>
    <w:rsid w:val="D3FB7450"/>
    <w:rsid w:val="D4DB01B7"/>
    <w:rsid w:val="D66F8287"/>
    <w:rsid w:val="D7BBAA10"/>
    <w:rsid w:val="D7F361A1"/>
    <w:rsid w:val="DABD2638"/>
    <w:rsid w:val="DBE6673B"/>
    <w:rsid w:val="DCFDC612"/>
    <w:rsid w:val="DDFA02CF"/>
    <w:rsid w:val="DE5FAAD8"/>
    <w:rsid w:val="DE7ABCDF"/>
    <w:rsid w:val="DEFE8AF7"/>
    <w:rsid w:val="DEFF15A9"/>
    <w:rsid w:val="DF3F852D"/>
    <w:rsid w:val="DF5F223F"/>
    <w:rsid w:val="DF7F4600"/>
    <w:rsid w:val="DFAE5910"/>
    <w:rsid w:val="DFBD7794"/>
    <w:rsid w:val="DFDB12E0"/>
    <w:rsid w:val="DFFF088B"/>
    <w:rsid w:val="E3F9842D"/>
    <w:rsid w:val="E76F4526"/>
    <w:rsid w:val="E7FF3AEB"/>
    <w:rsid w:val="EA6B5BAF"/>
    <w:rsid w:val="EB7EBA50"/>
    <w:rsid w:val="ECAF4E9A"/>
    <w:rsid w:val="EF7F456C"/>
    <w:rsid w:val="EF9FA2C4"/>
    <w:rsid w:val="EFAB046C"/>
    <w:rsid w:val="EFAED14E"/>
    <w:rsid w:val="EFD2D1F2"/>
    <w:rsid w:val="F3AF4B3C"/>
    <w:rsid w:val="F67FB2FD"/>
    <w:rsid w:val="F6B79787"/>
    <w:rsid w:val="F7BE1E71"/>
    <w:rsid w:val="F7FBE9E5"/>
    <w:rsid w:val="F87FA5EF"/>
    <w:rsid w:val="F8FFBFAE"/>
    <w:rsid w:val="F91F6BF8"/>
    <w:rsid w:val="FB1EDCE7"/>
    <w:rsid w:val="FB99B2CA"/>
    <w:rsid w:val="FBEF7F5D"/>
    <w:rsid w:val="FBFF1E2E"/>
    <w:rsid w:val="FCFA6358"/>
    <w:rsid w:val="FD3D180D"/>
    <w:rsid w:val="FD6C78BE"/>
    <w:rsid w:val="FD8A3C75"/>
    <w:rsid w:val="FDEC2F81"/>
    <w:rsid w:val="FDEE40B4"/>
    <w:rsid w:val="FDF03B2F"/>
    <w:rsid w:val="FDF3882E"/>
    <w:rsid w:val="FDFED04B"/>
    <w:rsid w:val="FE6764D7"/>
    <w:rsid w:val="FE997974"/>
    <w:rsid w:val="FEDD87DC"/>
    <w:rsid w:val="FEDF11C0"/>
    <w:rsid w:val="FEF79E55"/>
    <w:rsid w:val="FEF9FA6E"/>
    <w:rsid w:val="FEFB3879"/>
    <w:rsid w:val="FEFFAD2B"/>
    <w:rsid w:val="FF96E622"/>
    <w:rsid w:val="FFB679AA"/>
    <w:rsid w:val="FFCF3CF9"/>
    <w:rsid w:val="FFCFFCD8"/>
    <w:rsid w:val="FFDADC84"/>
    <w:rsid w:val="FFF76E64"/>
    <w:rsid w:val="FFFBFC64"/>
    <w:rsid w:val="FFFE170F"/>
    <w:rsid w:val="FF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Body Text"/>
    <w:basedOn w:val="1"/>
    <w:link w:val="17"/>
    <w:autoRedefine/>
    <w:qFormat/>
    <w:uiPriority w:val="0"/>
    <w:pPr>
      <w:spacing w:after="120"/>
    </w:pPr>
  </w:style>
  <w:style w:type="paragraph" w:styleId="4">
    <w:name w:val="Body Text Indent"/>
    <w:basedOn w:val="1"/>
    <w:autoRedefine/>
    <w:qFormat/>
    <w:uiPriority w:val="0"/>
    <w:pPr>
      <w:ind w:firstLine="435"/>
    </w:pPr>
    <w:rPr>
      <w:sz w:val="28"/>
    </w:rPr>
  </w:style>
  <w:style w:type="paragraph" w:styleId="5">
    <w:name w:val="Date"/>
    <w:basedOn w:val="1"/>
    <w:next w:val="1"/>
    <w:link w:val="15"/>
    <w:autoRedefine/>
    <w:qFormat/>
    <w:uiPriority w:val="0"/>
    <w:pPr>
      <w:ind w:left="100" w:leftChars="2500"/>
    </w:pPr>
  </w:style>
  <w:style w:type="paragraph" w:styleId="6">
    <w:name w:val="Balloon Text"/>
    <w:basedOn w:val="1"/>
    <w:link w:val="16"/>
    <w:autoRedefine/>
    <w:qFormat/>
    <w:uiPriority w:val="0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page number"/>
    <w:basedOn w:val="11"/>
    <w:autoRedefine/>
    <w:qFormat/>
    <w:uiPriority w:val="0"/>
  </w:style>
  <w:style w:type="character" w:customStyle="1" w:styleId="14">
    <w:name w:val="正文文本 Char"/>
    <w:basedOn w:val="11"/>
    <w:link w:val="3"/>
    <w:autoRedefine/>
    <w:qFormat/>
    <w:uiPriority w:val="0"/>
    <w:rPr>
      <w:kern w:val="2"/>
      <w:sz w:val="21"/>
      <w:szCs w:val="24"/>
    </w:rPr>
  </w:style>
  <w:style w:type="character" w:customStyle="1" w:styleId="15">
    <w:name w:val="日期 Char"/>
    <w:basedOn w:val="11"/>
    <w:link w:val="5"/>
    <w:autoRedefine/>
    <w:qFormat/>
    <w:uiPriority w:val="0"/>
    <w:rPr>
      <w:kern w:val="2"/>
      <w:sz w:val="21"/>
      <w:szCs w:val="24"/>
    </w:rPr>
  </w:style>
  <w:style w:type="character" w:customStyle="1" w:styleId="16">
    <w:name w:val="批注框文本 Char"/>
    <w:basedOn w:val="11"/>
    <w:link w:val="6"/>
    <w:autoRedefine/>
    <w:qFormat/>
    <w:uiPriority w:val="0"/>
    <w:rPr>
      <w:kern w:val="2"/>
      <w:sz w:val="18"/>
      <w:szCs w:val="18"/>
    </w:rPr>
  </w:style>
  <w:style w:type="character" w:customStyle="1" w:styleId="17">
    <w:name w:val="正文文本 字符"/>
    <w:link w:val="3"/>
    <w:autoRedefine/>
    <w:qFormat/>
    <w:uiPriority w:val="0"/>
    <w:rPr>
      <w:kern w:val="2"/>
      <w:sz w:val="21"/>
      <w:szCs w:val="24"/>
    </w:rPr>
  </w:style>
  <w:style w:type="paragraph" w:customStyle="1" w:styleId="18">
    <w:name w:val=" Char Char Char Char"/>
    <w:basedOn w:val="1"/>
    <w:autoRedefine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19">
    <w:name w:val=" Char Char Char"/>
    <w:basedOn w:val="1"/>
    <w:autoRedefine/>
    <w:qFormat/>
    <w:uiPriority w:val="0"/>
    <w:pPr>
      <w:ind w:firstLine="617" w:firstLineChars="257"/>
    </w:pPr>
    <w:rPr>
      <w:rFonts w:ascii="仿宋_GB2312" w:hAnsi="Tahoma" w:eastAsia="仿宋_GB2312" w:cs="Arial"/>
      <w:sz w:val="24"/>
    </w:rPr>
  </w:style>
  <w:style w:type="paragraph" w:customStyle="1" w:styleId="20">
    <w:name w:val="_Style 28"/>
    <w:basedOn w:val="1"/>
    <w:next w:val="21"/>
    <w:autoRedefine/>
    <w:qFormat/>
    <w:uiPriority w:val="1"/>
    <w:pPr>
      <w:autoSpaceDE w:val="0"/>
      <w:autoSpaceDN w:val="0"/>
      <w:ind w:left="117" w:firstLine="559"/>
      <w:jc w:val="left"/>
    </w:pPr>
    <w:rPr>
      <w:rFonts w:ascii="仿宋_GB2312" w:hAnsi="仿宋_GB2312" w:eastAsia="仿宋_GB2312" w:cs="仿宋_GB2312"/>
      <w:kern w:val="0"/>
      <w:sz w:val="22"/>
      <w:szCs w:val="22"/>
      <w:lang w:val="zh-CN" w:bidi="zh-CN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2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11</Pages>
  <Words>4938</Words>
  <Characters>5103</Characters>
  <Lines>37</Lines>
  <Paragraphs>10</Paragraphs>
  <TotalTime>0</TotalTime>
  <ScaleCrop>false</ScaleCrop>
  <LinksUpToDate>false</LinksUpToDate>
  <CharactersWithSpaces>5145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2025-10-25T03:01:00Z</dcterms:created>
  <dc:creator>MC SYSTEM</dc:creator>
  <cp:lastModifiedBy>王华</cp:lastModifiedBy>
  <cp:lastPrinted>2026-09-24T10:03:00Z</cp:lastPrinted>
  <dcterms:modified xsi:type="dcterms:W3CDTF">2026-10-15T09:34:26Z</dcterms:modified>
  <dc:title>2012年上海市秋播麦、油、绿肥作物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649D94BD463C4458BC12FB0DF416A4E5_13</vt:lpwstr>
  </property>
  <property fmtid="{D5CDD505-2E9C-101B-9397-08002B2CF9AE}" pid="4" name="KSOTemplateDocerSaveRecord">
    <vt:lpwstr>eyJoZGlkIjoiM2ZlZjFhYTNiNWU0MTQ1ZDM1MDZhMzdhMTE0ODQ0ZWIiLCJ1c2VySWQiOiIzNTU0NjI4OTIifQ==</vt:lpwstr>
  </property>
</Properties>
</file>