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619C7">
      <w:pPr>
        <w:jc w:val="center"/>
        <w:outlineLvl w:val="1"/>
        <w:rPr>
          <w:rFonts w:eastAsia="方正小标宋简体"/>
          <w:sz w:val="32"/>
          <w:szCs w:val="32"/>
        </w:rPr>
      </w:pPr>
      <w:bookmarkStart w:id="0" w:name="OLE_LINK7"/>
      <w:r>
        <w:rPr>
          <w:rFonts w:eastAsia="方正小标宋简体"/>
          <w:sz w:val="32"/>
          <w:szCs w:val="32"/>
        </w:rPr>
        <w:t>2026年奉贤区知识产权国际竞争力提升项目立项评分标准</w:t>
      </w:r>
    </w:p>
    <w:bookmarkEnd w:id="0"/>
    <w:tbl>
      <w:tblPr>
        <w:tblStyle w:val="4"/>
        <w:tblW w:w="13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539"/>
        <w:gridCol w:w="522"/>
        <w:gridCol w:w="7436"/>
        <w:gridCol w:w="2895"/>
      </w:tblGrid>
      <w:tr w14:paraId="57D2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44" w:type="dxa"/>
            <w:shd w:val="clear" w:color="auto" w:fill="D7D7D7"/>
            <w:vAlign w:val="center"/>
          </w:tcPr>
          <w:p w14:paraId="5F07AD80">
            <w:pPr>
              <w:snapToGrid w:val="0"/>
              <w:jc w:val="center"/>
              <w:rPr>
                <w:rFonts w:eastAsia="黑体"/>
                <w:sz w:val="24"/>
              </w:rPr>
            </w:pPr>
            <w:bookmarkStart w:id="1" w:name="OLE_LINK2"/>
            <w:r>
              <w:rPr>
                <w:rFonts w:eastAsia="黑体"/>
                <w:sz w:val="24"/>
              </w:rPr>
              <w:t>类型</w:t>
            </w:r>
          </w:p>
        </w:tc>
        <w:tc>
          <w:tcPr>
            <w:tcW w:w="1539" w:type="dxa"/>
            <w:shd w:val="clear" w:color="auto" w:fill="D7D7D7"/>
            <w:vAlign w:val="center"/>
          </w:tcPr>
          <w:p w14:paraId="4497E8E8">
            <w:pPr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评审内容</w:t>
            </w:r>
          </w:p>
        </w:tc>
        <w:tc>
          <w:tcPr>
            <w:tcW w:w="522" w:type="dxa"/>
            <w:shd w:val="clear" w:color="auto" w:fill="D7D7D7"/>
            <w:vAlign w:val="center"/>
          </w:tcPr>
          <w:p w14:paraId="12CEEB38">
            <w:pPr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满分</w:t>
            </w:r>
          </w:p>
        </w:tc>
        <w:tc>
          <w:tcPr>
            <w:tcW w:w="7436" w:type="dxa"/>
            <w:shd w:val="clear" w:color="auto" w:fill="D7D7D7"/>
            <w:vAlign w:val="center"/>
          </w:tcPr>
          <w:p w14:paraId="27227C24">
            <w:pPr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评分标准</w:t>
            </w:r>
          </w:p>
        </w:tc>
        <w:tc>
          <w:tcPr>
            <w:tcW w:w="2895" w:type="dxa"/>
            <w:shd w:val="clear" w:color="auto" w:fill="D7D7D7"/>
            <w:vAlign w:val="center"/>
          </w:tcPr>
          <w:p w14:paraId="71013EC7">
            <w:pPr>
              <w:snapToGrid w:val="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佐证材料</w:t>
            </w:r>
          </w:p>
        </w:tc>
      </w:tr>
      <w:bookmarkEnd w:id="1"/>
      <w:tr w14:paraId="20256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restart"/>
            <w:vAlign w:val="center"/>
          </w:tcPr>
          <w:p w14:paraId="1FE3ED48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申报单位工作基础</w:t>
            </w:r>
          </w:p>
          <w:p w14:paraId="3755C80C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</w:t>
            </w:r>
            <w:r>
              <w:rPr>
                <w:rFonts w:hint="eastAsia" w:eastAsia="仿宋_GB2312"/>
                <w:szCs w:val="21"/>
              </w:rPr>
              <w:t>15</w:t>
            </w:r>
            <w:r>
              <w:rPr>
                <w:rFonts w:eastAsia="仿宋_GB2312"/>
                <w:szCs w:val="21"/>
              </w:rPr>
              <w:t>分）</w:t>
            </w:r>
          </w:p>
        </w:tc>
        <w:tc>
          <w:tcPr>
            <w:tcW w:w="1539" w:type="dxa"/>
            <w:vAlign w:val="center"/>
          </w:tcPr>
          <w:p w14:paraId="70E83911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经营情况</w:t>
            </w:r>
          </w:p>
        </w:tc>
        <w:tc>
          <w:tcPr>
            <w:tcW w:w="522" w:type="dxa"/>
            <w:vAlign w:val="center"/>
          </w:tcPr>
          <w:p w14:paraId="17E230AC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2分</w:t>
            </w:r>
          </w:p>
        </w:tc>
        <w:tc>
          <w:tcPr>
            <w:tcW w:w="7436" w:type="dxa"/>
            <w:vAlign w:val="center"/>
          </w:tcPr>
          <w:p w14:paraId="5B71F4C0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申报单位依法经营及纳税和信用情况，满分2分。</w:t>
            </w:r>
          </w:p>
        </w:tc>
        <w:tc>
          <w:tcPr>
            <w:tcW w:w="2895" w:type="dxa"/>
            <w:vAlign w:val="center"/>
          </w:tcPr>
          <w:p w14:paraId="3DC7416B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部门设立文件、人员任命文件、管理制度文本</w:t>
            </w:r>
          </w:p>
        </w:tc>
      </w:tr>
      <w:tr w14:paraId="6F5CA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continue"/>
            <w:vAlign w:val="center"/>
          </w:tcPr>
          <w:p w14:paraId="21AF6FAC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625BD846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研发投入</w:t>
            </w:r>
          </w:p>
        </w:tc>
        <w:tc>
          <w:tcPr>
            <w:tcW w:w="522" w:type="dxa"/>
            <w:vAlign w:val="center"/>
          </w:tcPr>
          <w:p w14:paraId="7884D782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2分</w:t>
            </w:r>
          </w:p>
        </w:tc>
        <w:tc>
          <w:tcPr>
            <w:tcW w:w="7436" w:type="dxa"/>
            <w:vAlign w:val="center"/>
          </w:tcPr>
          <w:p w14:paraId="1B4C8D84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申报单位研发经费（含知识产权经费）投入及科研人员占比，满分2分。</w:t>
            </w:r>
          </w:p>
        </w:tc>
        <w:tc>
          <w:tcPr>
            <w:tcW w:w="2895" w:type="dxa"/>
            <w:vAlign w:val="center"/>
          </w:tcPr>
          <w:p w14:paraId="62DDBB05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获奖文件或证书</w:t>
            </w:r>
          </w:p>
        </w:tc>
      </w:tr>
      <w:tr w14:paraId="58D50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continue"/>
            <w:vAlign w:val="center"/>
          </w:tcPr>
          <w:p w14:paraId="42ADE560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24456938"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szCs w:val="21"/>
                <w:lang w:val="en"/>
              </w:rPr>
              <w:t>专业人员配置情况</w:t>
            </w:r>
          </w:p>
        </w:tc>
        <w:tc>
          <w:tcPr>
            <w:tcW w:w="522" w:type="dxa"/>
            <w:vAlign w:val="center"/>
          </w:tcPr>
          <w:p w14:paraId="15E25EEA"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szCs w:val="21"/>
              </w:rPr>
              <w:t>3分</w:t>
            </w:r>
          </w:p>
        </w:tc>
        <w:tc>
          <w:tcPr>
            <w:tcW w:w="7436" w:type="dxa"/>
            <w:vAlign w:val="center"/>
          </w:tcPr>
          <w:p w14:paraId="285FFB1F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szCs w:val="21"/>
              </w:rPr>
              <w:t>每配备1名知识产权工作者（专利工作者）得1分、中级及以上知识产权师得2分、专利代理师得3分，同一人以最高得分计。满分3分。</w:t>
            </w:r>
          </w:p>
        </w:tc>
        <w:tc>
          <w:tcPr>
            <w:tcW w:w="2895" w:type="dxa"/>
            <w:vAlign w:val="center"/>
          </w:tcPr>
          <w:p w14:paraId="05318C03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szCs w:val="21"/>
              </w:rPr>
              <w:t>相关人员资质证书，及其在本单位不少于6个月社保参保证明。</w:t>
            </w:r>
          </w:p>
        </w:tc>
      </w:tr>
      <w:tr w14:paraId="0706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continue"/>
            <w:vAlign w:val="center"/>
          </w:tcPr>
          <w:p w14:paraId="37DF6DBA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1181460D"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贯标认证</w:t>
            </w:r>
          </w:p>
        </w:tc>
        <w:tc>
          <w:tcPr>
            <w:tcW w:w="522" w:type="dxa"/>
            <w:vAlign w:val="center"/>
          </w:tcPr>
          <w:p w14:paraId="27690D28"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3</w:t>
            </w:r>
            <w:r>
              <w:rPr>
                <w:rFonts w:hint="eastAsia" w:eastAsia="仿宋_GB2312"/>
                <w:color w:val="000000"/>
              </w:rPr>
              <w:t>分</w:t>
            </w:r>
          </w:p>
        </w:tc>
        <w:tc>
          <w:tcPr>
            <w:tcW w:w="7436" w:type="dxa"/>
            <w:vAlign w:val="center"/>
          </w:tcPr>
          <w:p w14:paraId="042A865C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申报单位知识产权管理制度建设情况或《企业知识产权合规管理体系要求》国家标准贯标认证情况，满分</w:t>
            </w:r>
            <w:r>
              <w:rPr>
                <w:rFonts w:eastAsia="仿宋_GB2312"/>
                <w:color w:val="000000"/>
              </w:rPr>
              <w:t>3</w:t>
            </w:r>
            <w:r>
              <w:rPr>
                <w:rFonts w:hint="eastAsia" w:eastAsia="仿宋_GB2312"/>
                <w:color w:val="000000"/>
              </w:rPr>
              <w:t>分。</w:t>
            </w:r>
          </w:p>
        </w:tc>
        <w:tc>
          <w:tcPr>
            <w:tcW w:w="2895" w:type="dxa"/>
            <w:vAlign w:val="center"/>
          </w:tcPr>
          <w:p w14:paraId="6E712E31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贯标认证证书</w:t>
            </w:r>
          </w:p>
        </w:tc>
      </w:tr>
      <w:tr w14:paraId="6049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continue"/>
            <w:vAlign w:val="center"/>
          </w:tcPr>
          <w:p w14:paraId="7A5D43AA">
            <w:pPr>
              <w:snapToGrid w:val="0"/>
              <w:jc w:val="center"/>
              <w:rPr>
                <w:rFonts w:eastAsia="仿宋_GB2312"/>
                <w:szCs w:val="21"/>
              </w:rPr>
            </w:pPr>
            <w:bookmarkStart w:id="2" w:name="_Hlk236229304"/>
          </w:p>
        </w:tc>
        <w:tc>
          <w:tcPr>
            <w:tcW w:w="1539" w:type="dxa"/>
            <w:vAlign w:val="center"/>
          </w:tcPr>
          <w:p w14:paraId="66F9C6D8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出海发展基础</w:t>
            </w:r>
          </w:p>
        </w:tc>
        <w:tc>
          <w:tcPr>
            <w:tcW w:w="522" w:type="dxa"/>
            <w:vAlign w:val="center"/>
          </w:tcPr>
          <w:p w14:paraId="174E3080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</w:rPr>
              <w:t>5分</w:t>
            </w:r>
          </w:p>
        </w:tc>
        <w:tc>
          <w:tcPr>
            <w:tcW w:w="7436" w:type="dxa"/>
            <w:vAlign w:val="center"/>
          </w:tcPr>
          <w:p w14:paraId="1F297B76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（</w:t>
            </w:r>
            <w:r>
              <w:rPr>
                <w:rFonts w:eastAsia="仿宋_GB2312"/>
                <w:color w:val="000000"/>
              </w:rPr>
              <w:t>1</w:t>
            </w:r>
            <w:r>
              <w:rPr>
                <w:rFonts w:hint="eastAsia" w:eastAsia="仿宋_GB2312"/>
                <w:color w:val="000000"/>
              </w:rPr>
              <w:t>）已为产品或服务</w:t>
            </w:r>
            <w:r>
              <w:rPr>
                <w:rFonts w:eastAsia="仿宋_GB2312"/>
                <w:color w:val="000000"/>
              </w:rPr>
              <w:t>“</w:t>
            </w:r>
            <w:r>
              <w:rPr>
                <w:rFonts w:hint="eastAsia" w:eastAsia="仿宋_GB2312"/>
                <w:color w:val="000000"/>
              </w:rPr>
              <w:t>出海</w:t>
            </w:r>
            <w:r>
              <w:rPr>
                <w:rFonts w:eastAsia="仿宋_GB2312"/>
                <w:color w:val="000000"/>
              </w:rPr>
              <w:t>”</w:t>
            </w:r>
            <w:r>
              <w:rPr>
                <w:rFonts w:hint="eastAsia" w:eastAsia="仿宋_GB2312"/>
                <w:color w:val="000000"/>
              </w:rPr>
              <w:t>开展市场调研、目标市场分析的，得</w:t>
            </w:r>
            <w:r>
              <w:rPr>
                <w:rFonts w:eastAsia="仿宋_GB2312"/>
                <w:color w:val="000000"/>
              </w:rPr>
              <w:t>3</w:t>
            </w:r>
            <w:r>
              <w:rPr>
                <w:rFonts w:hint="eastAsia" w:eastAsia="仿宋_GB2312"/>
                <w:color w:val="000000"/>
              </w:rPr>
              <w:t>分；</w:t>
            </w:r>
          </w:p>
          <w:p w14:paraId="54F0648D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（</w:t>
            </w:r>
            <w:r>
              <w:rPr>
                <w:rFonts w:eastAsia="仿宋_GB2312"/>
                <w:color w:val="000000"/>
              </w:rPr>
              <w:t>2</w:t>
            </w:r>
            <w:r>
              <w:rPr>
                <w:rFonts w:hint="eastAsia" w:eastAsia="仿宋_GB2312"/>
                <w:color w:val="000000"/>
              </w:rPr>
              <w:t>）产品或服务已在海外市场实际销售或开展业务的，得</w:t>
            </w:r>
            <w:r>
              <w:rPr>
                <w:rFonts w:eastAsia="仿宋_GB2312"/>
                <w:color w:val="000000"/>
              </w:rPr>
              <w:t>5</w:t>
            </w:r>
            <w:r>
              <w:rPr>
                <w:rFonts w:hint="eastAsia" w:eastAsia="仿宋_GB2312"/>
                <w:color w:val="000000"/>
              </w:rPr>
              <w:t>分。</w:t>
            </w:r>
          </w:p>
          <w:p w14:paraId="2DA764C9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（3）以上累计，满分</w:t>
            </w:r>
            <w:r>
              <w:rPr>
                <w:rFonts w:hint="eastAsia" w:eastAsia="仿宋_GB2312"/>
                <w:color w:val="000000"/>
              </w:rPr>
              <w:t>5</w:t>
            </w:r>
            <w:r>
              <w:rPr>
                <w:rFonts w:eastAsia="仿宋_GB2312"/>
                <w:color w:val="000000"/>
              </w:rPr>
              <w:t>分。</w:t>
            </w:r>
          </w:p>
        </w:tc>
        <w:tc>
          <w:tcPr>
            <w:tcW w:w="2895" w:type="dxa"/>
            <w:vAlign w:val="center"/>
          </w:tcPr>
          <w:p w14:paraId="09D23509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</w:rPr>
              <w:t>市场调研报告、出口业务证明材料（如报关单、出口合同等）</w:t>
            </w:r>
          </w:p>
        </w:tc>
      </w:tr>
      <w:bookmarkEnd w:id="2"/>
      <w:tr w14:paraId="3A2E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restart"/>
            <w:vAlign w:val="center"/>
          </w:tcPr>
          <w:p w14:paraId="0CF64B9B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海外知识产权创造能力</w:t>
            </w:r>
          </w:p>
          <w:p w14:paraId="0AFC320B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</w:t>
            </w:r>
            <w:r>
              <w:rPr>
                <w:rFonts w:hint="eastAsia" w:eastAsia="仿宋_GB2312"/>
                <w:szCs w:val="21"/>
              </w:rPr>
              <w:t>45</w:t>
            </w:r>
            <w:r>
              <w:rPr>
                <w:rFonts w:eastAsia="仿宋_GB2312"/>
                <w:szCs w:val="21"/>
              </w:rPr>
              <w:t>分）</w:t>
            </w:r>
          </w:p>
        </w:tc>
        <w:tc>
          <w:tcPr>
            <w:tcW w:w="1539" w:type="dxa"/>
            <w:vAlign w:val="center"/>
          </w:tcPr>
          <w:p w14:paraId="081873E4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国内发明专利拥有情况</w:t>
            </w:r>
          </w:p>
        </w:tc>
        <w:tc>
          <w:tcPr>
            <w:tcW w:w="522" w:type="dxa"/>
            <w:vAlign w:val="center"/>
          </w:tcPr>
          <w:p w14:paraId="2D22A588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</w:rPr>
              <w:t>5</w:t>
            </w:r>
            <w:r>
              <w:rPr>
                <w:rFonts w:eastAsia="仿宋_GB2312"/>
                <w:color w:val="000000"/>
              </w:rPr>
              <w:t>分</w:t>
            </w:r>
          </w:p>
        </w:tc>
        <w:tc>
          <w:tcPr>
            <w:tcW w:w="7436" w:type="dxa"/>
            <w:vAlign w:val="center"/>
          </w:tcPr>
          <w:p w14:paraId="2535129F">
            <w:pPr>
              <w:snapToGrid w:val="0"/>
              <w:rPr>
                <w:rFonts w:eastAsia="仿宋_GB2312"/>
                <w:szCs w:val="21"/>
              </w:rPr>
            </w:pPr>
            <w:bookmarkStart w:id="3" w:name="OLE_LINK1"/>
            <w:r>
              <w:rPr>
                <w:rFonts w:eastAsia="仿宋_GB2312"/>
                <w:color w:val="000000"/>
              </w:rPr>
              <w:t>至申报截止日，每有1件维持有效的国内发明专利，得0.5分。满分</w:t>
            </w:r>
            <w:r>
              <w:rPr>
                <w:rFonts w:hint="eastAsia" w:eastAsia="仿宋_GB2312"/>
                <w:color w:val="000000"/>
              </w:rPr>
              <w:t>5</w:t>
            </w:r>
            <w:r>
              <w:rPr>
                <w:rFonts w:eastAsia="仿宋_GB2312"/>
                <w:color w:val="000000"/>
              </w:rPr>
              <w:t>分。</w:t>
            </w:r>
            <w:bookmarkEnd w:id="3"/>
          </w:p>
        </w:tc>
        <w:tc>
          <w:tcPr>
            <w:tcW w:w="2895" w:type="dxa"/>
            <w:vAlign w:val="center"/>
          </w:tcPr>
          <w:p w14:paraId="00182ACB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授权发明专利清单及相应年费缴纳证明</w:t>
            </w:r>
          </w:p>
        </w:tc>
      </w:tr>
      <w:tr w14:paraId="7846C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continue"/>
            <w:vAlign w:val="center"/>
          </w:tcPr>
          <w:p w14:paraId="27C64970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7CFC11CB"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海外知识产权拥有情况</w:t>
            </w:r>
          </w:p>
        </w:tc>
        <w:tc>
          <w:tcPr>
            <w:tcW w:w="522" w:type="dxa"/>
            <w:vAlign w:val="center"/>
          </w:tcPr>
          <w:p w14:paraId="6D439D38"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10分</w:t>
            </w:r>
          </w:p>
        </w:tc>
        <w:tc>
          <w:tcPr>
            <w:tcW w:w="7436" w:type="dxa"/>
            <w:vAlign w:val="center"/>
          </w:tcPr>
          <w:p w14:paraId="114EA210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（1）</w:t>
            </w:r>
            <w:r>
              <w:rPr>
                <w:rFonts w:eastAsia="仿宋_GB2312"/>
                <w:color w:val="000000"/>
              </w:rPr>
              <w:t>至申报截止日，每有1件维持有效</w:t>
            </w:r>
            <w:r>
              <w:rPr>
                <w:rFonts w:hint="eastAsia" w:eastAsia="仿宋_GB2312"/>
                <w:color w:val="000000"/>
              </w:rPr>
              <w:t>的海外</w:t>
            </w:r>
            <w:r>
              <w:rPr>
                <w:rFonts w:eastAsia="仿宋_GB2312"/>
                <w:color w:val="000000"/>
              </w:rPr>
              <w:t>发明专利，得</w:t>
            </w:r>
            <w:r>
              <w:rPr>
                <w:rFonts w:hint="eastAsia" w:eastAsia="仿宋_GB2312"/>
                <w:color w:val="000000"/>
              </w:rPr>
              <w:t>1</w:t>
            </w:r>
            <w:r>
              <w:rPr>
                <w:rFonts w:eastAsia="仿宋_GB2312"/>
                <w:color w:val="000000"/>
              </w:rPr>
              <w:t>分</w:t>
            </w:r>
            <w:r>
              <w:rPr>
                <w:rFonts w:hint="eastAsia" w:eastAsia="仿宋_GB2312"/>
                <w:color w:val="000000"/>
              </w:rPr>
              <w:t>；</w:t>
            </w:r>
          </w:p>
          <w:p w14:paraId="61B599BF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（2）</w:t>
            </w:r>
            <w:r>
              <w:rPr>
                <w:rFonts w:eastAsia="仿宋_GB2312"/>
                <w:color w:val="000000"/>
              </w:rPr>
              <w:t>至申报截止日，每有1件维持有效</w:t>
            </w:r>
            <w:r>
              <w:rPr>
                <w:rFonts w:hint="eastAsia" w:eastAsia="仿宋_GB2312"/>
                <w:color w:val="000000"/>
              </w:rPr>
              <w:t>的海外注册商标</w:t>
            </w:r>
            <w:r>
              <w:rPr>
                <w:rFonts w:eastAsia="仿宋_GB2312"/>
                <w:color w:val="000000"/>
              </w:rPr>
              <w:t>，得0.5分</w:t>
            </w:r>
            <w:r>
              <w:rPr>
                <w:rFonts w:hint="eastAsia" w:eastAsia="仿宋_GB2312"/>
                <w:color w:val="000000"/>
              </w:rPr>
              <w:t>；</w:t>
            </w:r>
          </w:p>
          <w:p w14:paraId="55F34C94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（3）以上累计，</w:t>
            </w:r>
            <w:r>
              <w:rPr>
                <w:rFonts w:eastAsia="仿宋_GB2312"/>
                <w:color w:val="000000"/>
              </w:rPr>
              <w:t>满分10分。</w:t>
            </w:r>
          </w:p>
        </w:tc>
        <w:tc>
          <w:tcPr>
            <w:tcW w:w="2895" w:type="dxa"/>
            <w:vAlign w:val="center"/>
          </w:tcPr>
          <w:p w14:paraId="71CD9E82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海外知识产权授权凭证</w:t>
            </w:r>
          </w:p>
        </w:tc>
      </w:tr>
      <w:tr w14:paraId="513A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continue"/>
            <w:vAlign w:val="center"/>
          </w:tcPr>
          <w:p w14:paraId="513AE787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5BD1044D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PCT国际专利申请情况</w:t>
            </w:r>
          </w:p>
        </w:tc>
        <w:tc>
          <w:tcPr>
            <w:tcW w:w="522" w:type="dxa"/>
            <w:vAlign w:val="center"/>
          </w:tcPr>
          <w:p w14:paraId="7C9EEB24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color w:val="000000"/>
              </w:rPr>
              <w:t>30</w:t>
            </w:r>
            <w:r>
              <w:rPr>
                <w:rFonts w:eastAsia="仿宋_GB2312"/>
                <w:color w:val="000000"/>
              </w:rPr>
              <w:t>分</w:t>
            </w:r>
          </w:p>
        </w:tc>
        <w:tc>
          <w:tcPr>
            <w:tcW w:w="7436" w:type="dxa"/>
            <w:vAlign w:val="center"/>
          </w:tcPr>
          <w:p w14:paraId="77AFB6DD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2026年度（至申报截止日），通过中国国家知识产权局申请PCT国际专利，每件得</w:t>
            </w:r>
            <w:r>
              <w:rPr>
                <w:rFonts w:hint="eastAsia" w:eastAsia="仿宋_GB2312"/>
                <w:color w:val="000000"/>
              </w:rPr>
              <w:t>6</w:t>
            </w:r>
            <w:r>
              <w:rPr>
                <w:rFonts w:eastAsia="仿宋_GB2312"/>
                <w:color w:val="000000"/>
              </w:rPr>
              <w:t>分</w:t>
            </w:r>
            <w:r>
              <w:rPr>
                <w:rFonts w:hint="eastAsia" w:eastAsia="仿宋_GB2312"/>
                <w:color w:val="000000"/>
              </w:rPr>
              <w:t>。</w:t>
            </w:r>
          </w:p>
        </w:tc>
        <w:tc>
          <w:tcPr>
            <w:tcW w:w="2895" w:type="dxa"/>
            <w:vAlign w:val="center"/>
          </w:tcPr>
          <w:p w14:paraId="2B0746FB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PCT专利申请清单（含优先权号、PCT申请号、申请年度）及已缴纳官费收据</w:t>
            </w:r>
          </w:p>
        </w:tc>
      </w:tr>
      <w:tr w14:paraId="68C5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restart"/>
            <w:vAlign w:val="center"/>
          </w:tcPr>
          <w:p w14:paraId="01D429F2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海外知识产权运用能力</w:t>
            </w:r>
          </w:p>
          <w:p w14:paraId="03721A2B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</w:t>
            </w:r>
            <w:r>
              <w:rPr>
                <w:rFonts w:hint="eastAsia" w:eastAsia="仿宋_GB2312"/>
                <w:szCs w:val="21"/>
              </w:rPr>
              <w:t>40</w:t>
            </w:r>
            <w:r>
              <w:rPr>
                <w:rFonts w:eastAsia="仿宋_GB2312"/>
                <w:szCs w:val="21"/>
              </w:rPr>
              <w:t>分）</w:t>
            </w:r>
          </w:p>
        </w:tc>
        <w:tc>
          <w:tcPr>
            <w:tcW w:w="1539" w:type="dxa"/>
            <w:vAlign w:val="center"/>
          </w:tcPr>
          <w:p w14:paraId="4B629227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专利许可转让成效</w:t>
            </w:r>
          </w:p>
        </w:tc>
        <w:tc>
          <w:tcPr>
            <w:tcW w:w="522" w:type="dxa"/>
            <w:vAlign w:val="center"/>
          </w:tcPr>
          <w:p w14:paraId="1F8DB44B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10分</w:t>
            </w:r>
          </w:p>
        </w:tc>
        <w:tc>
          <w:tcPr>
            <w:tcW w:w="7436" w:type="dxa"/>
            <w:vAlign w:val="center"/>
          </w:tcPr>
          <w:p w14:paraId="6AD7A548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（1）2026年以来（至申报截止日），开展专利许可、转让（含受让、被许可）并在国家知识产权局完成相应变更登记或合同备案手续的，涉及专利每件次得2分；</w:t>
            </w:r>
          </w:p>
          <w:p w14:paraId="2B13AA3E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（2）涉及海外专利许可或转让的，每件次额外加2分；</w:t>
            </w:r>
          </w:p>
          <w:p w14:paraId="1A4A57B9">
            <w:pPr>
              <w:snapToGrid w:val="0"/>
              <w:rPr>
                <w:rFonts w:eastAsia="仿宋_GB2312"/>
                <w:szCs w:val="21"/>
              </w:rPr>
            </w:pPr>
            <w:bookmarkStart w:id="4" w:name="OLE_LINK15"/>
            <w:r>
              <w:rPr>
                <w:rFonts w:eastAsia="仿宋_GB2312"/>
                <w:color w:val="000000"/>
              </w:rPr>
              <w:t>（3）以上累计，满分10分。</w:t>
            </w:r>
            <w:bookmarkEnd w:id="4"/>
          </w:p>
        </w:tc>
        <w:tc>
          <w:tcPr>
            <w:tcW w:w="2895" w:type="dxa"/>
            <w:vAlign w:val="center"/>
          </w:tcPr>
          <w:p w14:paraId="311409B5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专利许可转让清单（含专利号、双方名称、交易金额）及相应合同备案证明或著录项目变更通知书等</w:t>
            </w:r>
          </w:p>
        </w:tc>
      </w:tr>
      <w:tr w14:paraId="5B675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continue"/>
            <w:vAlign w:val="center"/>
          </w:tcPr>
          <w:p w14:paraId="7038F352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53DB8F7E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专利信息分析利用</w:t>
            </w:r>
          </w:p>
        </w:tc>
        <w:tc>
          <w:tcPr>
            <w:tcW w:w="522" w:type="dxa"/>
            <w:vAlign w:val="center"/>
          </w:tcPr>
          <w:p w14:paraId="291CB49C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2</w:t>
            </w:r>
            <w:r>
              <w:rPr>
                <w:rFonts w:hint="eastAsia" w:eastAsia="仿宋_GB2312"/>
                <w:color w:val="000000"/>
              </w:rPr>
              <w:t>0</w:t>
            </w:r>
            <w:r>
              <w:rPr>
                <w:rFonts w:eastAsia="仿宋_GB2312"/>
                <w:color w:val="000000"/>
              </w:rPr>
              <w:t>分</w:t>
            </w:r>
          </w:p>
        </w:tc>
        <w:tc>
          <w:tcPr>
            <w:tcW w:w="7436" w:type="dxa"/>
            <w:vAlign w:val="center"/>
          </w:tcPr>
          <w:p w14:paraId="44091C31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（1）2025年1月1日以来，以申报单位为第一完成人，有专利自由实施分析（FTO）报告的，每1篇得3分；</w:t>
            </w:r>
          </w:p>
          <w:p w14:paraId="782CDE6A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（2）有专利导航报告的，每1篇得5分；</w:t>
            </w:r>
          </w:p>
          <w:p w14:paraId="57F70675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（3）有</w:t>
            </w:r>
            <w:bookmarkStart w:id="5" w:name="OLE_LINK6"/>
            <w:r>
              <w:rPr>
                <w:rFonts w:eastAsia="仿宋_GB2312"/>
                <w:color w:val="000000"/>
              </w:rPr>
              <w:t>海外专利预警分析报告</w:t>
            </w:r>
            <w:bookmarkEnd w:id="5"/>
            <w:r>
              <w:rPr>
                <w:rFonts w:eastAsia="仿宋_GB2312"/>
                <w:color w:val="000000"/>
              </w:rPr>
              <w:t>的，每1篇得10分；</w:t>
            </w:r>
          </w:p>
          <w:p w14:paraId="4D49845C">
            <w:pPr>
              <w:snapToGrid w:val="0"/>
              <w:rPr>
                <w:rFonts w:eastAsia="仿宋_GB2312"/>
                <w:szCs w:val="21"/>
              </w:rPr>
            </w:pPr>
            <w:bookmarkStart w:id="6" w:name="OLE_LINK16"/>
            <w:r>
              <w:rPr>
                <w:rFonts w:eastAsia="仿宋_GB2312"/>
                <w:color w:val="000000"/>
              </w:rPr>
              <w:t>（4）以上累计，满分2</w:t>
            </w:r>
            <w:r>
              <w:rPr>
                <w:rFonts w:hint="eastAsia" w:eastAsia="仿宋_GB2312"/>
                <w:color w:val="000000"/>
              </w:rPr>
              <w:t>0</w:t>
            </w:r>
            <w:r>
              <w:rPr>
                <w:rFonts w:eastAsia="仿宋_GB2312"/>
                <w:color w:val="000000"/>
              </w:rPr>
              <w:t>分。</w:t>
            </w:r>
            <w:bookmarkEnd w:id="6"/>
          </w:p>
        </w:tc>
        <w:tc>
          <w:tcPr>
            <w:tcW w:w="2895" w:type="dxa"/>
            <w:vAlign w:val="center"/>
          </w:tcPr>
          <w:p w14:paraId="1867A666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专利自由实施分析（FTO）、专利导航、海外专利预警分析等报告</w:t>
            </w:r>
          </w:p>
        </w:tc>
      </w:tr>
      <w:tr w14:paraId="702A7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4" w:type="dxa"/>
            <w:vMerge w:val="continue"/>
            <w:vAlign w:val="center"/>
          </w:tcPr>
          <w:p w14:paraId="60F95F65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59CDA1D9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知识产权金融</w:t>
            </w:r>
          </w:p>
        </w:tc>
        <w:tc>
          <w:tcPr>
            <w:tcW w:w="522" w:type="dxa"/>
            <w:vAlign w:val="center"/>
          </w:tcPr>
          <w:p w14:paraId="40C6DAD9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1</w:t>
            </w:r>
            <w:r>
              <w:rPr>
                <w:rFonts w:hint="eastAsia" w:eastAsia="仿宋_GB2312"/>
                <w:color w:val="000000"/>
              </w:rPr>
              <w:t>0</w:t>
            </w:r>
            <w:r>
              <w:rPr>
                <w:rFonts w:eastAsia="仿宋_GB2312"/>
                <w:color w:val="000000"/>
              </w:rPr>
              <w:t>分</w:t>
            </w:r>
          </w:p>
        </w:tc>
        <w:tc>
          <w:tcPr>
            <w:tcW w:w="7436" w:type="dxa"/>
            <w:vAlign w:val="center"/>
          </w:tcPr>
          <w:p w14:paraId="55246783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（1）2026年以来（至申报截止日），开展专利商标质押并在国家知识产权局完成质押登记的，登记金额每500万元得5分，满分1</w:t>
            </w:r>
            <w:r>
              <w:rPr>
                <w:rFonts w:hint="eastAsia" w:eastAsia="仿宋_GB2312"/>
                <w:color w:val="000000"/>
              </w:rPr>
              <w:t>0</w:t>
            </w:r>
            <w:r>
              <w:rPr>
                <w:rFonts w:eastAsia="仿宋_GB2312"/>
                <w:color w:val="000000"/>
              </w:rPr>
              <w:t>分；</w:t>
            </w:r>
          </w:p>
          <w:p w14:paraId="02803069">
            <w:pPr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（2）202</w:t>
            </w:r>
            <w:r>
              <w:rPr>
                <w:rFonts w:hint="eastAsia" w:eastAsia="仿宋_GB2312"/>
                <w:color w:val="000000"/>
              </w:rPr>
              <w:t>6</w:t>
            </w:r>
            <w:r>
              <w:rPr>
                <w:rFonts w:eastAsia="仿宋_GB2312"/>
                <w:color w:val="000000"/>
              </w:rPr>
              <w:t>年以来购买海外知识产权侵权责任保险的，得5分</w:t>
            </w:r>
            <w:r>
              <w:rPr>
                <w:rFonts w:hint="eastAsia" w:eastAsia="仿宋_GB2312"/>
                <w:color w:val="000000"/>
              </w:rPr>
              <w:t>；</w:t>
            </w:r>
          </w:p>
          <w:p w14:paraId="27C68895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（</w:t>
            </w:r>
            <w:r>
              <w:rPr>
                <w:rFonts w:hint="eastAsia" w:eastAsia="仿宋_GB2312"/>
                <w:color w:val="000000"/>
              </w:rPr>
              <w:t>3</w:t>
            </w:r>
            <w:r>
              <w:rPr>
                <w:rFonts w:eastAsia="仿宋_GB2312"/>
                <w:color w:val="000000"/>
              </w:rPr>
              <w:t>）以上累计，满分</w:t>
            </w:r>
            <w:r>
              <w:rPr>
                <w:rFonts w:hint="eastAsia" w:eastAsia="仿宋_GB2312"/>
                <w:color w:val="000000"/>
              </w:rPr>
              <w:t>10</w:t>
            </w:r>
            <w:r>
              <w:rPr>
                <w:rFonts w:eastAsia="仿宋_GB2312"/>
                <w:color w:val="000000"/>
              </w:rPr>
              <w:t>分。</w:t>
            </w:r>
          </w:p>
        </w:tc>
        <w:tc>
          <w:tcPr>
            <w:tcW w:w="2895" w:type="dxa"/>
            <w:vAlign w:val="center"/>
          </w:tcPr>
          <w:p w14:paraId="06727621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质押登记通知书、贷款合同；保险保单等</w:t>
            </w:r>
          </w:p>
        </w:tc>
      </w:tr>
      <w:tr w14:paraId="0ED0A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44" w:type="dxa"/>
            <w:vMerge w:val="restart"/>
            <w:vAlign w:val="center"/>
          </w:tcPr>
          <w:p w14:paraId="70139CE3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海外知识产权风险应对能力</w:t>
            </w:r>
          </w:p>
          <w:p w14:paraId="7860B5D1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（40分）</w:t>
            </w:r>
          </w:p>
        </w:tc>
        <w:tc>
          <w:tcPr>
            <w:tcW w:w="1539" w:type="dxa"/>
            <w:vAlign w:val="center"/>
          </w:tcPr>
          <w:p w14:paraId="312C0904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风险防范机制</w:t>
            </w:r>
          </w:p>
        </w:tc>
        <w:tc>
          <w:tcPr>
            <w:tcW w:w="522" w:type="dxa"/>
            <w:vAlign w:val="center"/>
          </w:tcPr>
          <w:p w14:paraId="01629C20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5分</w:t>
            </w:r>
          </w:p>
        </w:tc>
        <w:tc>
          <w:tcPr>
            <w:tcW w:w="7436" w:type="dxa"/>
            <w:vAlign w:val="center"/>
          </w:tcPr>
          <w:p w14:paraId="3F0C178B">
            <w:pPr>
              <w:wordWrap w:val="0"/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已建立海外知识产权纠纷监测预警与应急响应机制的，得</w:t>
            </w:r>
            <w:r>
              <w:rPr>
                <w:rFonts w:hint="eastAsia" w:eastAsia="仿宋_GB2312"/>
                <w:color w:val="000000"/>
              </w:rPr>
              <w:t>5</w:t>
            </w:r>
            <w:r>
              <w:rPr>
                <w:rFonts w:eastAsia="仿宋_GB2312"/>
                <w:color w:val="000000"/>
              </w:rPr>
              <w:t>分。</w:t>
            </w:r>
          </w:p>
        </w:tc>
        <w:tc>
          <w:tcPr>
            <w:tcW w:w="2895" w:type="dxa"/>
            <w:vAlign w:val="center"/>
          </w:tcPr>
          <w:p w14:paraId="4DF017DF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预警机制文件、纠纷应对机制文件等</w:t>
            </w:r>
          </w:p>
        </w:tc>
      </w:tr>
      <w:tr w14:paraId="78F2A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44" w:type="dxa"/>
            <w:vMerge w:val="continue"/>
            <w:vAlign w:val="center"/>
          </w:tcPr>
          <w:p w14:paraId="4FF7103B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54368C49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海外维权工作成效</w:t>
            </w:r>
          </w:p>
        </w:tc>
        <w:tc>
          <w:tcPr>
            <w:tcW w:w="522" w:type="dxa"/>
            <w:vAlign w:val="center"/>
          </w:tcPr>
          <w:p w14:paraId="4BB0B917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25分</w:t>
            </w:r>
          </w:p>
        </w:tc>
        <w:tc>
          <w:tcPr>
            <w:tcW w:w="7436" w:type="dxa"/>
            <w:vAlign w:val="center"/>
          </w:tcPr>
          <w:p w14:paraId="55B988C3">
            <w:pPr>
              <w:wordWrap w:val="0"/>
              <w:snapToGrid w:val="0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2025年1月1日以来，成功发起海外知识产权维权或有效应对海外知识产权诉讼，积极应对海外知识产权维权的，每1起得5分；获得胜诉判决的，每1起胜诉得10分</w:t>
            </w:r>
            <w:r>
              <w:rPr>
                <w:rFonts w:hint="eastAsia" w:eastAsia="仿宋_GB2312"/>
                <w:color w:val="000000"/>
              </w:rPr>
              <w:t>；</w:t>
            </w:r>
            <w:r>
              <w:rPr>
                <w:rFonts w:eastAsia="仿宋_GB2312"/>
                <w:color w:val="000000"/>
              </w:rPr>
              <w:t>得分累计</w:t>
            </w:r>
            <w:r>
              <w:rPr>
                <w:rFonts w:hint="eastAsia" w:eastAsia="仿宋_GB2312"/>
                <w:color w:val="000000"/>
              </w:rPr>
              <w:t>，满分25分</w:t>
            </w:r>
            <w:r>
              <w:rPr>
                <w:rFonts w:eastAsia="仿宋_GB2312"/>
                <w:color w:val="000000"/>
              </w:rPr>
              <w:t>。</w:t>
            </w:r>
          </w:p>
        </w:tc>
        <w:tc>
          <w:tcPr>
            <w:tcW w:w="2895" w:type="dxa"/>
            <w:vAlign w:val="center"/>
          </w:tcPr>
          <w:p w14:paraId="49C07FC6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海外知识产权维权胜诉的判决书</w:t>
            </w:r>
            <w:r>
              <w:rPr>
                <w:rFonts w:hint="eastAsia" w:eastAsia="仿宋_GB2312"/>
                <w:szCs w:val="21"/>
              </w:rPr>
              <w:t>等</w:t>
            </w:r>
          </w:p>
        </w:tc>
      </w:tr>
      <w:tr w14:paraId="5B1C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44" w:type="dxa"/>
            <w:vMerge w:val="continue"/>
            <w:vAlign w:val="center"/>
          </w:tcPr>
          <w:p w14:paraId="689983BC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645FBC74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海外知识产权资源利用</w:t>
            </w:r>
          </w:p>
        </w:tc>
        <w:tc>
          <w:tcPr>
            <w:tcW w:w="522" w:type="dxa"/>
            <w:vAlign w:val="center"/>
          </w:tcPr>
          <w:p w14:paraId="47CDA354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10</w:t>
            </w:r>
            <w:r>
              <w:rPr>
                <w:rFonts w:hint="eastAsia" w:eastAsia="仿宋_GB2312"/>
                <w:szCs w:val="21"/>
              </w:rPr>
              <w:t>分</w:t>
            </w:r>
          </w:p>
        </w:tc>
        <w:tc>
          <w:tcPr>
            <w:tcW w:w="7436" w:type="dxa"/>
            <w:vAlign w:val="center"/>
          </w:tcPr>
          <w:p w14:paraId="36FFAAA7">
            <w:pPr>
              <w:wordWrap w:val="0"/>
              <w:snapToGrid w:val="0"/>
              <w:rPr>
                <w:rFonts w:eastAsia="仿宋_GB2312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充分利用区域海外知识产权公共服务资源，申请海外知识产权纠纷应对指导或海外知识产权布局指导服务的，每</w:t>
            </w:r>
            <w:r>
              <w:rPr>
                <w:rFonts w:eastAsia="仿宋_GB2312"/>
                <w:color w:val="000000"/>
              </w:rPr>
              <w:t>1</w:t>
            </w:r>
            <w:r>
              <w:rPr>
                <w:rFonts w:hint="eastAsia" w:eastAsia="仿宋_GB2312"/>
                <w:color w:val="000000"/>
              </w:rPr>
              <w:t>次得</w:t>
            </w:r>
            <w:r>
              <w:rPr>
                <w:rFonts w:eastAsia="仿宋_GB2312"/>
                <w:color w:val="000000"/>
              </w:rPr>
              <w:t>5</w:t>
            </w:r>
            <w:r>
              <w:rPr>
                <w:rFonts w:hint="eastAsia" w:eastAsia="仿宋_GB2312"/>
                <w:color w:val="000000"/>
              </w:rPr>
              <w:t>分；得分累计，满分</w:t>
            </w:r>
            <w:r>
              <w:rPr>
                <w:rFonts w:eastAsia="仿宋_GB2312"/>
                <w:color w:val="000000"/>
              </w:rPr>
              <w:t>10</w:t>
            </w:r>
            <w:r>
              <w:rPr>
                <w:rFonts w:hint="eastAsia" w:eastAsia="仿宋_GB2312"/>
                <w:color w:val="000000"/>
              </w:rPr>
              <w:t>分。</w:t>
            </w:r>
          </w:p>
        </w:tc>
        <w:tc>
          <w:tcPr>
            <w:tcW w:w="2895" w:type="dxa"/>
            <w:vAlign w:val="center"/>
          </w:tcPr>
          <w:p w14:paraId="09429A0B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</w:rPr>
              <w:t>海外知识产权指导申请表、海外知识产权指导意见书等</w:t>
            </w:r>
          </w:p>
        </w:tc>
      </w:tr>
      <w:tr w14:paraId="4DD17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44" w:type="dxa"/>
            <w:vMerge w:val="restart"/>
            <w:vAlign w:val="center"/>
          </w:tcPr>
          <w:p w14:paraId="7E4ADA41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工作方案</w:t>
            </w:r>
          </w:p>
          <w:p w14:paraId="18A3E4BB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（10分）</w:t>
            </w:r>
          </w:p>
        </w:tc>
        <w:tc>
          <w:tcPr>
            <w:tcW w:w="1539" w:type="dxa"/>
            <w:vAlign w:val="center"/>
          </w:tcPr>
          <w:p w14:paraId="628A89D0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项目实施计划</w:t>
            </w:r>
          </w:p>
        </w:tc>
        <w:tc>
          <w:tcPr>
            <w:tcW w:w="522" w:type="dxa"/>
            <w:vAlign w:val="center"/>
          </w:tcPr>
          <w:p w14:paraId="77D5CD05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4分</w:t>
            </w:r>
          </w:p>
        </w:tc>
        <w:tc>
          <w:tcPr>
            <w:tcW w:w="7436" w:type="dxa"/>
            <w:vAlign w:val="center"/>
          </w:tcPr>
          <w:p w14:paraId="60273E90">
            <w:pPr>
              <w:wordWrap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从项目组织、海外知识产权布局策略、人员配置、进度计划、保障措施等方面进行概述，字数不超过1000字。</w:t>
            </w:r>
          </w:p>
        </w:tc>
        <w:tc>
          <w:tcPr>
            <w:tcW w:w="2895" w:type="dxa"/>
            <w:vMerge w:val="restart"/>
            <w:vAlign w:val="center"/>
          </w:tcPr>
          <w:p w14:paraId="5C97FCFE">
            <w:pPr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根据评分标准编制项目工作方案</w:t>
            </w:r>
          </w:p>
        </w:tc>
      </w:tr>
      <w:tr w14:paraId="3757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4" w:type="dxa"/>
            <w:vMerge w:val="continue"/>
            <w:vAlign w:val="center"/>
          </w:tcPr>
          <w:p w14:paraId="78F1D997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71357049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绩效目标情况</w:t>
            </w:r>
          </w:p>
        </w:tc>
        <w:tc>
          <w:tcPr>
            <w:tcW w:w="522" w:type="dxa"/>
            <w:vAlign w:val="center"/>
          </w:tcPr>
          <w:p w14:paraId="2A21993B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3分</w:t>
            </w:r>
          </w:p>
        </w:tc>
        <w:tc>
          <w:tcPr>
            <w:tcW w:w="7436" w:type="dxa"/>
            <w:vAlign w:val="center"/>
          </w:tcPr>
          <w:p w14:paraId="660037E2">
            <w:pPr>
              <w:wordWrap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从任务期内新增PCT国际专利申请数量、海外专利布局国家/地区数量、专利许可转让成效、海外知识产权风险应对能力提升等方面进行概述，字数不超过500字。</w:t>
            </w:r>
          </w:p>
        </w:tc>
        <w:tc>
          <w:tcPr>
            <w:tcW w:w="2895" w:type="dxa"/>
            <w:vMerge w:val="continue"/>
            <w:vAlign w:val="center"/>
          </w:tcPr>
          <w:p w14:paraId="316CD5EF">
            <w:pPr>
              <w:snapToGrid w:val="0"/>
              <w:rPr>
                <w:rFonts w:eastAsia="仿宋_GB2312"/>
                <w:szCs w:val="21"/>
              </w:rPr>
            </w:pPr>
          </w:p>
        </w:tc>
      </w:tr>
      <w:tr w14:paraId="722BA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244" w:type="dxa"/>
            <w:vMerge w:val="continue"/>
            <w:vAlign w:val="center"/>
          </w:tcPr>
          <w:p w14:paraId="458B2409">
            <w:pPr>
              <w:snapToGrid w:val="0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39" w:type="dxa"/>
            <w:vAlign w:val="center"/>
          </w:tcPr>
          <w:p w14:paraId="05F25101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资金安排情况</w:t>
            </w:r>
          </w:p>
        </w:tc>
        <w:tc>
          <w:tcPr>
            <w:tcW w:w="522" w:type="dxa"/>
            <w:vAlign w:val="center"/>
          </w:tcPr>
          <w:p w14:paraId="3C1A3DC6">
            <w:pPr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3分</w:t>
            </w:r>
          </w:p>
        </w:tc>
        <w:tc>
          <w:tcPr>
            <w:tcW w:w="7436" w:type="dxa"/>
            <w:vAlign w:val="center"/>
          </w:tcPr>
          <w:p w14:paraId="55C0A76D">
            <w:pPr>
              <w:wordWrap w:val="0"/>
              <w:snapToGrid w:val="0"/>
              <w:rPr>
                <w:rFonts w:eastAsia="仿宋_GB2312"/>
                <w:szCs w:val="21"/>
              </w:rPr>
            </w:pPr>
            <w:r>
              <w:rPr>
                <w:rFonts w:eastAsia="仿宋_GB2312"/>
                <w:color w:val="000000"/>
              </w:rPr>
              <w:t>从项目财政资金、自筹配套资金使用计划等方面进行概述，字数不超过500字。</w:t>
            </w:r>
          </w:p>
        </w:tc>
        <w:tc>
          <w:tcPr>
            <w:tcW w:w="2895" w:type="dxa"/>
            <w:vMerge w:val="continue"/>
            <w:vAlign w:val="center"/>
          </w:tcPr>
          <w:p w14:paraId="5AE3D9E9">
            <w:pPr>
              <w:snapToGrid w:val="0"/>
              <w:rPr>
                <w:rFonts w:eastAsia="仿宋_GB2312"/>
                <w:szCs w:val="21"/>
              </w:rPr>
            </w:pPr>
          </w:p>
        </w:tc>
      </w:tr>
    </w:tbl>
    <w:p w14:paraId="58DC904B">
      <w:bookmarkStart w:id="7" w:name="_GoBack"/>
      <w:bookmarkEnd w:id="7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D4B9E4">
    <w:pPr>
      <w:pStyle w:val="2"/>
      <w:jc w:val="center"/>
      <w:rPr>
        <w:rFonts w:hint="eastAsia"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</w:p>
  <w:p w14:paraId="035C00F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777DBE0"/>
    <w:rsid w:val="0000398A"/>
    <w:rsid w:val="00061321"/>
    <w:rsid w:val="00064646"/>
    <w:rsid w:val="000B160F"/>
    <w:rsid w:val="000B1B58"/>
    <w:rsid w:val="000B4568"/>
    <w:rsid w:val="000F430E"/>
    <w:rsid w:val="0011141E"/>
    <w:rsid w:val="00116E12"/>
    <w:rsid w:val="00176936"/>
    <w:rsid w:val="001773A1"/>
    <w:rsid w:val="00185BE3"/>
    <w:rsid w:val="001916DF"/>
    <w:rsid w:val="00196C42"/>
    <w:rsid w:val="001A03E0"/>
    <w:rsid w:val="001C005E"/>
    <w:rsid w:val="001D004B"/>
    <w:rsid w:val="001D6369"/>
    <w:rsid w:val="001F7AEA"/>
    <w:rsid w:val="00202F37"/>
    <w:rsid w:val="002804D7"/>
    <w:rsid w:val="00295FB4"/>
    <w:rsid w:val="002A76D7"/>
    <w:rsid w:val="002D018F"/>
    <w:rsid w:val="002D0ADC"/>
    <w:rsid w:val="002E5DD9"/>
    <w:rsid w:val="002E75B2"/>
    <w:rsid w:val="00301A2C"/>
    <w:rsid w:val="0030561D"/>
    <w:rsid w:val="00320DF1"/>
    <w:rsid w:val="00335700"/>
    <w:rsid w:val="0035575C"/>
    <w:rsid w:val="00365CA2"/>
    <w:rsid w:val="00374276"/>
    <w:rsid w:val="003909D7"/>
    <w:rsid w:val="003A5DDB"/>
    <w:rsid w:val="003D3573"/>
    <w:rsid w:val="003F4948"/>
    <w:rsid w:val="00414D0C"/>
    <w:rsid w:val="00444553"/>
    <w:rsid w:val="00475991"/>
    <w:rsid w:val="00485960"/>
    <w:rsid w:val="0049478A"/>
    <w:rsid w:val="004C0821"/>
    <w:rsid w:val="004C4C03"/>
    <w:rsid w:val="004C5E1B"/>
    <w:rsid w:val="004C7C1B"/>
    <w:rsid w:val="004D0B20"/>
    <w:rsid w:val="004D2D96"/>
    <w:rsid w:val="005416B0"/>
    <w:rsid w:val="0054357A"/>
    <w:rsid w:val="00546615"/>
    <w:rsid w:val="00546F05"/>
    <w:rsid w:val="00554A3D"/>
    <w:rsid w:val="00554FD7"/>
    <w:rsid w:val="00561EE6"/>
    <w:rsid w:val="00565170"/>
    <w:rsid w:val="00587BAA"/>
    <w:rsid w:val="005A1403"/>
    <w:rsid w:val="005A53ED"/>
    <w:rsid w:val="005D21E4"/>
    <w:rsid w:val="005D41AB"/>
    <w:rsid w:val="005E031D"/>
    <w:rsid w:val="005F7B0F"/>
    <w:rsid w:val="00616A24"/>
    <w:rsid w:val="006214AB"/>
    <w:rsid w:val="006701AD"/>
    <w:rsid w:val="00672E51"/>
    <w:rsid w:val="00673B3C"/>
    <w:rsid w:val="00693DB8"/>
    <w:rsid w:val="006C4CC5"/>
    <w:rsid w:val="006D1809"/>
    <w:rsid w:val="00704FB1"/>
    <w:rsid w:val="0071505F"/>
    <w:rsid w:val="00716491"/>
    <w:rsid w:val="0071759C"/>
    <w:rsid w:val="00747C92"/>
    <w:rsid w:val="00756BBF"/>
    <w:rsid w:val="00766D56"/>
    <w:rsid w:val="00766E28"/>
    <w:rsid w:val="007C1EE7"/>
    <w:rsid w:val="007E1181"/>
    <w:rsid w:val="00804906"/>
    <w:rsid w:val="00841568"/>
    <w:rsid w:val="00844F79"/>
    <w:rsid w:val="008D39B0"/>
    <w:rsid w:val="008E2D75"/>
    <w:rsid w:val="0090323E"/>
    <w:rsid w:val="009233D0"/>
    <w:rsid w:val="00941190"/>
    <w:rsid w:val="009545E1"/>
    <w:rsid w:val="00976A63"/>
    <w:rsid w:val="00976EFA"/>
    <w:rsid w:val="00990641"/>
    <w:rsid w:val="009A022C"/>
    <w:rsid w:val="009A0E32"/>
    <w:rsid w:val="00A253F5"/>
    <w:rsid w:val="00A3143E"/>
    <w:rsid w:val="00A40F18"/>
    <w:rsid w:val="00A5793A"/>
    <w:rsid w:val="00A650B3"/>
    <w:rsid w:val="00A8026F"/>
    <w:rsid w:val="00A94837"/>
    <w:rsid w:val="00A950EF"/>
    <w:rsid w:val="00AB3629"/>
    <w:rsid w:val="00AE2770"/>
    <w:rsid w:val="00AF01B1"/>
    <w:rsid w:val="00AF375C"/>
    <w:rsid w:val="00AF5649"/>
    <w:rsid w:val="00B164E0"/>
    <w:rsid w:val="00B16627"/>
    <w:rsid w:val="00BD4E8C"/>
    <w:rsid w:val="00BE5240"/>
    <w:rsid w:val="00C04578"/>
    <w:rsid w:val="00C157D4"/>
    <w:rsid w:val="00C30A59"/>
    <w:rsid w:val="00C95BE8"/>
    <w:rsid w:val="00CA692B"/>
    <w:rsid w:val="00CE608F"/>
    <w:rsid w:val="00CF7955"/>
    <w:rsid w:val="00D17755"/>
    <w:rsid w:val="00D55650"/>
    <w:rsid w:val="00DA131B"/>
    <w:rsid w:val="00E11224"/>
    <w:rsid w:val="00E20F3C"/>
    <w:rsid w:val="00E4461C"/>
    <w:rsid w:val="00E55F86"/>
    <w:rsid w:val="00E562AF"/>
    <w:rsid w:val="00E70C4D"/>
    <w:rsid w:val="00E74AB3"/>
    <w:rsid w:val="00EB689E"/>
    <w:rsid w:val="00EC4DFD"/>
    <w:rsid w:val="00ED3A83"/>
    <w:rsid w:val="00F374FA"/>
    <w:rsid w:val="00F65768"/>
    <w:rsid w:val="00FA5EE0"/>
    <w:rsid w:val="00FB1851"/>
    <w:rsid w:val="00FE1B95"/>
    <w:rsid w:val="00FF0C91"/>
    <w:rsid w:val="38EA3EE3"/>
    <w:rsid w:val="7777D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CBB3D-E455-4CB0-8BC0-7B3EE184B6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1580</Words>
  <Characters>1649</Characters>
  <Lines>12</Lines>
  <Paragraphs>3</Paragraphs>
  <TotalTime>242</TotalTime>
  <ScaleCrop>false</ScaleCrop>
  <LinksUpToDate>false</LinksUpToDate>
  <CharactersWithSpaces>1649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2026-07-29T02:54:00Z</dcterms:created>
  <dc:creator>王雨婷</dc:creator>
  <cp:lastModifiedBy>Administrator</cp:lastModifiedBy>
  <cp:lastPrinted>2026-07-29T09:03:00Z</cp:lastPrinted>
  <dcterms:modified xsi:type="dcterms:W3CDTF">2026-07-31T05:34:50Z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A408D9CA0E0B343C81472D68FA3E7931</vt:lpwstr>
  </property>
  <property fmtid="{D5CDD505-2E9C-101B-9397-08002B2CF9AE}" pid="4" name="KSOTemplateDocerSaveRecord">
    <vt:lpwstr>eyJoZGlkIjoiYzUxZGJlNTE0ZTdhM2M2YTdiYTAyMDdkMTNhZTRlYjgiLCJ1c2VySWQiOiIyNTgwODg5ODcifQ==</vt:lpwstr>
  </property>
</Properties>
</file>