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484B">
      <w:pPr>
        <w:spacing w:line="540" w:lineRule="exact"/>
        <w:jc w:val="center"/>
        <w:rPr>
          <w:rFonts w:ascii="方正小标宋简体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eastAsia="方正小标宋简体" w:cs="Times New Roman"/>
          <w:sz w:val="36"/>
          <w:szCs w:val="36"/>
          <w:highlight w:val="none"/>
        </w:rPr>
        <w:t>奉贤区司法局普法责任清单</w:t>
      </w:r>
    </w:p>
    <w:p w14:paraId="3AC118DD">
      <w:pPr>
        <w:spacing w:line="540" w:lineRule="exact"/>
        <w:rPr>
          <w:rFonts w:ascii="Times New Roman" w:hAnsi="Times New Roman" w:cs="Times New Roman"/>
          <w:szCs w:val="24"/>
          <w:highlight w:val="none"/>
        </w:rPr>
      </w:pPr>
    </w:p>
    <w:p w14:paraId="449527A3">
      <w:pPr>
        <w:spacing w:line="540" w:lineRule="exact"/>
        <w:ind w:firstLine="624" w:firstLineChars="200"/>
        <w:outlineLvl w:val="0"/>
        <w:rPr>
          <w:rFonts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  <w:t>一、重点普法内容及责任部门</w:t>
      </w:r>
    </w:p>
    <w:p w14:paraId="20C71E73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（一）《中华人民共和国宪法》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中华人民共和国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民法典》《中华人民共和国法治宣传教育法》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（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普法与依法治理科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）</w:t>
      </w:r>
    </w:p>
    <w:p w14:paraId="3F142253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（二）《中华人民共和国社区矫正法》《上海市安置帮教工作规定》（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社区矫正科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）</w:t>
      </w:r>
    </w:p>
    <w:p w14:paraId="269D6721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（三）《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行政执法监督条例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》（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行政执法协调监督科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）</w:t>
      </w:r>
    </w:p>
    <w:p w14:paraId="2BBF236C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（四）《中华人民共和国律师法》《律师执业管理办法》《律师事务所管理办法》《律师和律师事务所违法行为处罚办法》《上海市司法鉴定管理条例》（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律师公证工作科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）</w:t>
      </w:r>
    </w:p>
    <w:p w14:paraId="1016A070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（五）《中华人民共和国公证法》《公证员执业管理办法》、《公证机构执业管理办法》《公证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执业活动投诉处理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办法》（公证处）</w:t>
      </w:r>
    </w:p>
    <w:p w14:paraId="3E1E066B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（六）《中华人民共和国法律援助法》（法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律援助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中心）</w:t>
      </w:r>
    </w:p>
    <w:p w14:paraId="47E8AEE0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（七）《中华人民共和国人民调解法》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《商事调解条例》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（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人民参与和促进法治科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）</w:t>
      </w:r>
      <w:bookmarkStart w:id="0" w:name="_GoBack"/>
      <w:bookmarkEnd w:id="0"/>
    </w:p>
    <w:p w14:paraId="180FA713"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（八）《信访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工作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条例》《司法行政机关信访工作办法》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《中华人民共和国政府信息公开条例》《上海市政府信息公开规定》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（办公室）</w:t>
      </w:r>
    </w:p>
    <w:p w14:paraId="12897D85">
      <w:pPr>
        <w:adjustRightInd w:val="0"/>
        <w:snapToGrid w:val="0"/>
        <w:spacing w:line="540" w:lineRule="exact"/>
        <w:ind w:firstLine="600" w:firstLineChars="200"/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（九）《中华人民共和国行政复议法》《中华人民共和国行政复议法实施条例》《中华人民共和国行政诉讼法》（行政复议局）</w:t>
      </w:r>
    </w:p>
    <w:p w14:paraId="6618C2C6">
      <w:pPr>
        <w:spacing w:line="540" w:lineRule="exact"/>
        <w:ind w:firstLine="624" w:firstLineChars="200"/>
        <w:outlineLvl w:val="0"/>
        <w:rPr>
          <w:rFonts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  <w:t>二、重点普法对象</w:t>
      </w:r>
    </w:p>
    <w:p w14:paraId="64199E0C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（一）奉贤司法行政系统各级领导干部、司法行政工作者和法律服务工作者。</w:t>
      </w:r>
    </w:p>
    <w:p w14:paraId="07F89286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（二）社区矫正对象、安置帮教对象等；社区矫正对象家属、安置帮教对象家属等。</w:t>
      </w:r>
    </w:p>
    <w:p w14:paraId="6E1ABACD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（三）律师、公证员、法律援助工作人员、人民调解员等法律服务人员的服务对象。</w:t>
      </w:r>
    </w:p>
    <w:p w14:paraId="3DF3AE3F">
      <w:pPr>
        <w:spacing w:line="540" w:lineRule="exact"/>
        <w:ind w:firstLine="624" w:firstLineChars="200"/>
        <w:outlineLvl w:val="0"/>
        <w:rPr>
          <w:rFonts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snapToGrid w:val="0"/>
          <w:spacing w:val="-4"/>
          <w:kern w:val="32"/>
          <w:sz w:val="32"/>
          <w:szCs w:val="32"/>
          <w:highlight w:val="none"/>
        </w:rPr>
        <w:t>三、普法工作要求</w:t>
      </w:r>
    </w:p>
    <w:p w14:paraId="6D09ED19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（一）加强系统内法治教育</w:t>
      </w:r>
    </w:p>
    <w:p w14:paraId="78A9D7BD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建立健全党委中心组集体学法制度和党支部学法制度，定期组织领导干部和党员干部开展宪法法律专题培训，组织各级领导干部旁听行政诉讼案件庭审，提高领导干部运用法治思维和法治方式的能力。</w:t>
      </w:r>
    </w:p>
    <w:p w14:paraId="60409B55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加强司法行政工作者和法律服务工作者的法治教育。将宪法法律纳入本区司法行政系统教育培训中长期规划和年度计划，作为司法行政工作者和法律服务工作者入职培训、晋职（级）培训、在职培训的必训内容，全面提升司法行政工作者和法律服务工作者的法治素养。</w:t>
      </w:r>
    </w:p>
    <w:p w14:paraId="0B239547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深入持续加强党章党规党纪教育，将党内法规教育纳入各级党组织学习“三会一课”重要内容，纳入基层党建考核内容，不断提升全面从严治党实效。</w:t>
      </w:r>
    </w:p>
    <w:p w14:paraId="6A35DA3D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（二）把普法融入制度建设过程</w:t>
      </w:r>
    </w:p>
    <w:p w14:paraId="71F57663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健全公开征求意见和政策解读机制，除依法不宜公开的外，规范性文件草案要通过门户网站、微博、微信等多种渠道向社会公开征求意见，并及时通报情况；发布规范性文件时，要将政策解读作为必经程序。</w:t>
      </w:r>
    </w:p>
    <w:p w14:paraId="3CA07B8A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及时宣传解读新修订、新出台的涉及司法行政业务的法律法规规章，以通俗易懂的语言将公民、法人和其他组织的权利义务、权利救济方式等内容讲清讲透。</w:t>
      </w:r>
    </w:p>
    <w:p w14:paraId="05DA0187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（三）健全以案释法工作机制</w:t>
      </w:r>
    </w:p>
    <w:p w14:paraId="267FD8F0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建立法律服务人员以案释法工作机制，组织律师、公证员、人民调解员、法律援助工作人员等在法律服务过程中结合案件事实，有针对性地开展以案释法工作，充分发挥典型案例的引导、规范、预防与教育功能。</w:t>
      </w:r>
    </w:p>
    <w:p w14:paraId="53F77E2C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加强司法行政各项业务典型案例的收集、整理、研究和发布工作，建成高质量的奉贤司法行政案例库。</w:t>
      </w:r>
    </w:p>
    <w:p w14:paraId="3F16E5A6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（四）组织开展法治宣传教育活动</w:t>
      </w:r>
    </w:p>
    <w:p w14:paraId="233D0DFA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在“</w:t>
      </w:r>
      <w:r>
        <w:rPr>
          <w:rFonts w:ascii="仿宋_GB2312" w:eastAsia="仿宋_GB2312" w:cs="Times New Roman"/>
          <w:sz w:val="30"/>
          <w:szCs w:val="30"/>
          <w:highlight w:val="none"/>
        </w:rPr>
        <w:t>12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·</w:t>
      </w:r>
      <w:r>
        <w:rPr>
          <w:rFonts w:ascii="仿宋_GB2312" w:eastAsia="仿宋_GB2312" w:cs="Times New Roman"/>
          <w:sz w:val="30"/>
          <w:szCs w:val="30"/>
          <w:highlight w:val="none"/>
        </w:rPr>
        <w:t>4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”国家宪法日、奉贤区</w:t>
      </w:r>
      <w:r>
        <w:rPr>
          <w:rFonts w:hint="eastAsia" w:ascii="仿宋_GB2312" w:eastAsia="仿宋_GB2312" w:cs="Times New Roman"/>
          <w:sz w:val="30"/>
          <w:szCs w:val="30"/>
          <w:highlight w:val="none"/>
          <w:lang w:eastAsia="zh-CN"/>
        </w:rPr>
        <w:t>宪法宣传周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，开展社会面的宪法宣传，充分运用公共法律服务平台、司法行政官方网站和微博、微信、客户端等新媒体平台，面向社会积极开展宪法宣传教育。</w:t>
      </w:r>
    </w:p>
    <w:p w14:paraId="2FE796D6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利用重要法律颁布实施纪念日及“三八”妇女节、消费者维权日、国际禁毒日等时间节点，通过多种形式，开展生动有效的法治宣传活动。</w:t>
      </w:r>
    </w:p>
    <w:p w14:paraId="63ECA5BD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（五）加强社会主义法治文化建设</w:t>
      </w:r>
    </w:p>
    <w:p w14:paraId="65B5B8AC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实施法治文化阵地工程，依托司法行政机关、法律服务场所和窗口以及公园、广场等公共空间，推进法治文化公园、广场、场馆、基地等阵地建设。</w:t>
      </w:r>
    </w:p>
    <w:p w14:paraId="53110268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实施法治文化作品工程，深入挖掘社区矫正、公共法律服务中生动鲜活的故事，组织发动司法行政工作者和法律服务工作者创作具有正能量、有感染力的法治故事、微电影、微视频等优秀法治文化作品。</w:t>
      </w:r>
    </w:p>
    <w:p w14:paraId="28BD7D71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（六）完善法治舆论引导工作机制</w:t>
      </w:r>
    </w:p>
    <w:p w14:paraId="578BB58C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在“</w:t>
      </w:r>
      <w:r>
        <w:rPr>
          <w:rFonts w:ascii="仿宋_GB2312" w:eastAsia="仿宋_GB2312" w:cs="Times New Roman"/>
          <w:sz w:val="30"/>
          <w:szCs w:val="30"/>
          <w:highlight w:val="none"/>
        </w:rPr>
        <w:t>12348</w:t>
      </w:r>
      <w:r>
        <w:rPr>
          <w:rFonts w:hint="eastAsia" w:ascii="仿宋_GB2312" w:eastAsia="仿宋_GB2312" w:cs="Times New Roman"/>
          <w:sz w:val="30"/>
          <w:szCs w:val="30"/>
          <w:highlight w:val="none"/>
        </w:rPr>
        <w:t>上海法网”及手机客户端、司法行政官方网站、微博、微信等新媒体阵地开设法治宣传专栏，内容每周至少更新一次。</w:t>
      </w:r>
    </w:p>
    <w:p w14:paraId="4B3779B6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针对涉及司法行政的热点法治事件和社会关注问题，组织执法人员、专家学者、法律服务工作者等进行及时权威的法治解读，正确引导法治舆论。</w:t>
      </w:r>
    </w:p>
    <w:p w14:paraId="66A9C780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（七）加强普法信息报送工作</w:t>
      </w:r>
    </w:p>
    <w:p w14:paraId="09A9CD05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建立普法工作信息定期上报机制，在全区法治宣传教育工作平台上实时更新普法工作信息，做到司法行政普法信息及时、有效、分类上报。</w:t>
      </w:r>
    </w:p>
    <w:p w14:paraId="55055BA3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（八）加强普法考核评估</w:t>
      </w:r>
    </w:p>
    <w:p w14:paraId="510F7732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加强本系统普法责任制履行情况的考核评估，将普法工作开展情况纳入工作目标考核和领导干部政绩考核，并根据有关规定，通报表扬普法工作成效显著的部门和个人，通报批评普法责任不落实的部门和个人。</w:t>
      </w:r>
    </w:p>
    <w:p w14:paraId="6BCA430B">
      <w:pPr>
        <w:spacing w:line="540" w:lineRule="exact"/>
        <w:ind w:firstLine="602" w:firstLineChars="200"/>
        <w:rPr>
          <w:rFonts w:ascii="楷体" w:hAnsi="楷体" w:eastAsia="楷体" w:cs="Times New Roman"/>
          <w:b/>
          <w:sz w:val="30"/>
          <w:szCs w:val="30"/>
          <w:highlight w:val="none"/>
        </w:rPr>
      </w:pPr>
      <w:r>
        <w:rPr>
          <w:rFonts w:hint="eastAsia" w:ascii="楷体" w:hAnsi="楷体" w:eastAsia="楷体" w:cs="Times New Roman"/>
          <w:b/>
          <w:sz w:val="30"/>
          <w:szCs w:val="30"/>
          <w:highlight w:val="none"/>
        </w:rPr>
        <w:t>（九）健全普法领导和工作机构</w:t>
      </w:r>
    </w:p>
    <w:p w14:paraId="48749245">
      <w:pPr>
        <w:adjustRightInd w:val="0"/>
        <w:snapToGrid w:val="0"/>
        <w:spacing w:line="54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>将普法工作纳入本区司法行政工作总体布局，建立健全普法领导和工作机构，明确分管领导、具体责任部门和责任人员，确定专人负责日常工作。</w:t>
      </w:r>
    </w:p>
    <w:p w14:paraId="18DB3A3C"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</w:p>
    <w:p w14:paraId="396DDF50"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</w:p>
    <w:p w14:paraId="69B91ABF"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 w:cs="Times New Roman"/>
          <w:sz w:val="30"/>
          <w:szCs w:val="30"/>
          <w:highlight w:val="none"/>
        </w:rPr>
      </w:pPr>
    </w:p>
    <w:sectPr>
      <w:footerReference r:id="rId3" w:type="default"/>
      <w:pgSz w:w="11906" w:h="16838"/>
      <w:pgMar w:top="1814" w:right="1474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900E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85611F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MjgwNjlmYjUzNWRkNWZkNmVmZTkyNzNkNGY4OGYifQ=="/>
  </w:docVars>
  <w:rsids>
    <w:rsidRoot w:val="00C067CF"/>
    <w:rsid w:val="001655BF"/>
    <w:rsid w:val="005D77A2"/>
    <w:rsid w:val="007C3A67"/>
    <w:rsid w:val="00800F1E"/>
    <w:rsid w:val="00B6052B"/>
    <w:rsid w:val="00C067CF"/>
    <w:rsid w:val="0A1755FD"/>
    <w:rsid w:val="1FF02F50"/>
    <w:rsid w:val="2F5B6567"/>
    <w:rsid w:val="3AA67D46"/>
    <w:rsid w:val="3F77F129"/>
    <w:rsid w:val="517F322D"/>
    <w:rsid w:val="55F7CC12"/>
    <w:rsid w:val="5B5F680B"/>
    <w:rsid w:val="5CD0536F"/>
    <w:rsid w:val="5FFE9281"/>
    <w:rsid w:val="67915966"/>
    <w:rsid w:val="6FA918E1"/>
    <w:rsid w:val="70581E58"/>
    <w:rsid w:val="7BFD9061"/>
    <w:rsid w:val="B0DF7015"/>
    <w:rsid w:val="B1DD6A0B"/>
    <w:rsid w:val="BF3F3D41"/>
    <w:rsid w:val="DFCF35B4"/>
    <w:rsid w:val="FBFF300C"/>
    <w:rsid w:val="FEBF671D"/>
    <w:rsid w:val="FFD06C0C"/>
    <w:rsid w:val="FFF3A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281</Words>
  <Characters>1606</Characters>
  <Lines>13</Lines>
  <Paragraphs>3</Paragraphs>
  <TotalTime>1409</TotalTime>
  <ScaleCrop>false</ScaleCrop>
  <LinksUpToDate>false</LinksUpToDate>
  <CharactersWithSpaces>1884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2018-10-15T10:21:00Z</dcterms:created>
  <dc:creator>ac</dc:creator>
  <cp:lastModifiedBy>sfj013</cp:lastModifiedBy>
  <dcterms:modified xsi:type="dcterms:W3CDTF">2026-03-24T13:33:01Z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14B25517E1AECE410D22C2692560A292_43</vt:lpwstr>
  </property>
</Properties>
</file>