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color w:val="auto"/>
          <w:kern w:val="0"/>
          <w:sz w:val="32"/>
          <w:szCs w:val="32"/>
          <w:shd w:val="clear" w:color="auto" w:fill="FFFFFF"/>
          <w:lang w:bidi="ar"/>
        </w:rPr>
      </w:pPr>
    </w:p>
    <w:p>
      <w:pPr>
        <w:jc w:val="center"/>
        <w:rPr>
          <w:rFonts w:hint="default" w:ascii="Times New Roman" w:hAnsi="Times New Roman" w:cs="Times New Roman"/>
          <w:b/>
          <w:bCs/>
          <w:color w:val="auto"/>
          <w:kern w:val="0"/>
          <w:sz w:val="32"/>
          <w:szCs w:val="32"/>
          <w:shd w:val="clear" w:color="auto" w:fill="FFFFFF"/>
          <w:lang w:bidi="ar"/>
        </w:rPr>
      </w:pPr>
    </w:p>
    <w:p>
      <w:pPr>
        <w:jc w:val="center"/>
        <w:rPr>
          <w:rFonts w:hint="default" w:ascii="Times New Roman" w:hAnsi="Times New Roman" w:cs="Times New Roman"/>
          <w:b/>
          <w:bCs/>
          <w:color w:val="auto"/>
          <w:kern w:val="0"/>
          <w:sz w:val="32"/>
          <w:szCs w:val="32"/>
          <w:shd w:val="clear" w:color="auto" w:fill="FFFFFF"/>
          <w:lang w:bidi="ar"/>
        </w:rPr>
      </w:pPr>
    </w:p>
    <w:p>
      <w:pPr>
        <w:jc w:val="center"/>
        <w:rPr>
          <w:rFonts w:hint="default" w:ascii="Times New Roman" w:hAnsi="Times New Roman" w:cs="Times New Roman"/>
          <w:b/>
          <w:bCs/>
          <w:color w:val="auto"/>
          <w:kern w:val="0"/>
          <w:sz w:val="32"/>
          <w:szCs w:val="32"/>
          <w:shd w:val="clear" w:color="auto" w:fill="FFFFFF"/>
          <w:lang w:bidi="ar"/>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auto"/>
          <w:kern w:val="0"/>
          <w:sz w:val="44"/>
          <w:szCs w:val="44"/>
          <w:shd w:val="clear" w:color="auto" w:fill="FFFFFF"/>
          <w:lang w:bidi="ar"/>
        </w:rPr>
      </w:pPr>
      <w:r>
        <w:rPr>
          <w:rFonts w:hint="eastAsia" w:ascii="方正小标宋简体" w:hAnsi="方正小标宋简体" w:eastAsia="方正小标宋简体" w:cs="方正小标宋简体"/>
          <w:b w:val="0"/>
          <w:bCs w:val="0"/>
          <w:color w:val="auto"/>
          <w:kern w:val="0"/>
          <w:sz w:val="44"/>
          <w:szCs w:val="44"/>
          <w:shd w:val="clear" w:color="auto" w:fill="FFFFFF"/>
          <w:lang w:bidi="ar"/>
        </w:rPr>
        <w:t>上海市奉贤区生态环境保护</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auto"/>
          <w:kern w:val="0"/>
          <w:sz w:val="44"/>
          <w:szCs w:val="44"/>
          <w:shd w:val="clear" w:color="auto" w:fill="FFFFFF"/>
          <w:lang w:bidi="ar"/>
        </w:rPr>
      </w:pPr>
      <w:r>
        <w:rPr>
          <w:rFonts w:hint="eastAsia" w:ascii="方正小标宋简体" w:hAnsi="方正小标宋简体" w:eastAsia="方正小标宋简体" w:cs="方正小标宋简体"/>
          <w:b w:val="0"/>
          <w:bCs w:val="0"/>
          <w:color w:val="auto"/>
          <w:kern w:val="0"/>
          <w:sz w:val="44"/>
          <w:szCs w:val="44"/>
          <w:shd w:val="clear" w:color="auto" w:fill="FFFFFF"/>
          <w:lang w:bidi="ar"/>
        </w:rPr>
        <w:t>“十五五”规划</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auto"/>
          <w:kern w:val="0"/>
          <w:sz w:val="44"/>
          <w:szCs w:val="44"/>
          <w:shd w:val="clear" w:color="auto" w:fill="FFFFFF"/>
          <w:lang w:bidi="ar"/>
        </w:rPr>
      </w:pPr>
      <w:r>
        <w:rPr>
          <w:rFonts w:hint="eastAsia" w:ascii="方正小标宋简体" w:hAnsi="方正小标宋简体" w:eastAsia="方正小标宋简体" w:cs="方正小标宋简体"/>
          <w:b w:val="0"/>
          <w:bCs w:val="0"/>
          <w:color w:val="auto"/>
          <w:kern w:val="0"/>
          <w:sz w:val="44"/>
          <w:szCs w:val="44"/>
          <w:shd w:val="clear" w:color="auto" w:fill="FFFFFF"/>
          <w:lang w:bidi="ar"/>
        </w:rPr>
        <w:t>（</w:t>
      </w:r>
      <w:r>
        <w:rPr>
          <w:rFonts w:hint="eastAsia" w:ascii="方正小标宋简体" w:hAnsi="方正小标宋简体" w:eastAsia="方正小标宋简体" w:cs="方正小标宋简体"/>
          <w:b w:val="0"/>
          <w:bCs w:val="0"/>
          <w:color w:val="auto"/>
          <w:kern w:val="0"/>
          <w:sz w:val="44"/>
          <w:szCs w:val="44"/>
          <w:shd w:val="clear" w:color="auto" w:fill="FFFFFF"/>
          <w:lang w:eastAsia="zh-CN" w:bidi="ar"/>
        </w:rPr>
        <w:t>草案</w:t>
      </w:r>
      <w:r>
        <w:rPr>
          <w:rFonts w:hint="eastAsia" w:ascii="方正小标宋简体" w:hAnsi="方正小标宋简体" w:eastAsia="方正小标宋简体" w:cs="方正小标宋简体"/>
          <w:b w:val="0"/>
          <w:bCs w:val="0"/>
          <w:color w:val="auto"/>
          <w:kern w:val="0"/>
          <w:sz w:val="44"/>
          <w:szCs w:val="44"/>
          <w:shd w:val="clear" w:color="auto" w:fill="FFFFFF"/>
          <w:lang w:bidi="ar"/>
        </w:rPr>
        <w:t>）</w:t>
      </w:r>
    </w:p>
    <w:p>
      <w:pPr>
        <w:spacing w:line="480" w:lineRule="auto"/>
        <w:ind w:firstLine="0" w:firstLineChars="0"/>
        <w:jc w:val="center"/>
        <w:rPr>
          <w:rFonts w:hint="default" w:ascii="Times New Roman" w:hAnsi="Times New Roman" w:cs="Times New Roman"/>
          <w:b/>
          <w:bCs/>
          <w:color w:val="auto"/>
          <w:kern w:val="0"/>
          <w:sz w:val="44"/>
          <w:szCs w:val="44"/>
          <w:shd w:val="clear" w:color="auto" w:fill="FFFFFF"/>
          <w:lang w:bidi="ar"/>
        </w:rPr>
      </w:pPr>
    </w:p>
    <w:p>
      <w:pPr>
        <w:spacing w:line="480" w:lineRule="auto"/>
        <w:ind w:firstLine="0" w:firstLineChars="0"/>
        <w:jc w:val="center"/>
        <w:rPr>
          <w:rFonts w:hint="default" w:ascii="Times New Roman" w:hAnsi="Times New Roman" w:cs="Times New Roman"/>
          <w:b/>
          <w:bCs/>
          <w:color w:val="auto"/>
          <w:kern w:val="0"/>
          <w:sz w:val="44"/>
          <w:szCs w:val="44"/>
          <w:shd w:val="clear" w:color="auto" w:fill="FFFFFF"/>
          <w:lang w:bidi="ar"/>
        </w:rPr>
      </w:pPr>
    </w:p>
    <w:p>
      <w:pPr>
        <w:spacing w:line="480" w:lineRule="auto"/>
        <w:ind w:firstLine="0" w:firstLineChars="0"/>
        <w:jc w:val="center"/>
        <w:rPr>
          <w:rFonts w:hint="default" w:ascii="Times New Roman" w:hAnsi="Times New Roman" w:cs="Times New Roman"/>
          <w:b/>
          <w:bCs/>
          <w:color w:val="auto"/>
          <w:kern w:val="0"/>
          <w:sz w:val="44"/>
          <w:szCs w:val="44"/>
          <w:shd w:val="clear" w:color="auto" w:fill="FFFFFF"/>
          <w:lang w:bidi="ar"/>
        </w:rPr>
      </w:pPr>
    </w:p>
    <w:p>
      <w:pPr>
        <w:spacing w:line="480" w:lineRule="auto"/>
        <w:ind w:firstLine="0" w:firstLineChars="0"/>
        <w:jc w:val="center"/>
        <w:rPr>
          <w:rFonts w:hint="default" w:ascii="Times New Roman" w:hAnsi="Times New Roman" w:cs="Times New Roman"/>
          <w:b/>
          <w:bCs/>
          <w:color w:val="auto"/>
          <w:kern w:val="0"/>
          <w:sz w:val="44"/>
          <w:szCs w:val="44"/>
          <w:shd w:val="clear" w:color="auto" w:fill="FFFFFF"/>
          <w:lang w:bidi="ar"/>
        </w:rPr>
      </w:pPr>
    </w:p>
    <w:p>
      <w:pPr>
        <w:spacing w:line="480" w:lineRule="auto"/>
        <w:ind w:firstLine="0" w:firstLineChars="0"/>
        <w:jc w:val="center"/>
        <w:rPr>
          <w:rFonts w:hint="default" w:ascii="Times New Roman" w:hAnsi="Times New Roman" w:cs="Times New Roman"/>
          <w:b/>
          <w:bCs/>
          <w:color w:val="auto"/>
          <w:kern w:val="0"/>
          <w:sz w:val="44"/>
          <w:szCs w:val="44"/>
          <w:shd w:val="clear" w:color="auto" w:fill="FFFFFF"/>
          <w:lang w:bidi="ar"/>
        </w:rPr>
      </w:pPr>
    </w:p>
    <w:p>
      <w:pPr>
        <w:spacing w:line="480" w:lineRule="auto"/>
        <w:ind w:firstLine="0" w:firstLineChars="0"/>
        <w:jc w:val="center"/>
        <w:rPr>
          <w:rFonts w:hint="default" w:ascii="Times New Roman" w:hAnsi="Times New Roman" w:cs="Times New Roman"/>
          <w:b/>
          <w:bCs/>
          <w:color w:val="auto"/>
          <w:kern w:val="0"/>
          <w:sz w:val="44"/>
          <w:szCs w:val="44"/>
          <w:shd w:val="clear" w:color="auto" w:fill="FFFFFF"/>
          <w:lang w:bidi="ar"/>
        </w:rPr>
      </w:pPr>
    </w:p>
    <w:p>
      <w:pPr>
        <w:spacing w:line="480" w:lineRule="auto"/>
        <w:ind w:firstLine="0" w:firstLineChars="0"/>
        <w:jc w:val="center"/>
        <w:rPr>
          <w:rFonts w:hint="default" w:ascii="Times New Roman" w:hAnsi="Times New Roman" w:cs="Times New Roman"/>
          <w:b/>
          <w:bCs/>
          <w:color w:val="auto"/>
          <w:kern w:val="0"/>
          <w:sz w:val="44"/>
          <w:szCs w:val="44"/>
          <w:shd w:val="clear" w:color="auto" w:fill="FFFFFF"/>
          <w:lang w:bidi="ar"/>
        </w:rPr>
      </w:pPr>
    </w:p>
    <w:p>
      <w:pPr>
        <w:spacing w:line="480" w:lineRule="auto"/>
        <w:ind w:firstLine="0" w:firstLineChars="0"/>
        <w:jc w:val="center"/>
        <w:rPr>
          <w:rFonts w:hint="default" w:ascii="Times New Roman" w:hAnsi="Times New Roman" w:cs="Times New Roman"/>
          <w:b/>
          <w:bCs/>
          <w:color w:val="auto"/>
          <w:kern w:val="0"/>
          <w:sz w:val="44"/>
          <w:szCs w:val="44"/>
          <w:shd w:val="clear" w:color="auto" w:fill="FFFFFF"/>
          <w:lang w:bidi="ar"/>
        </w:rPr>
      </w:pPr>
    </w:p>
    <w:p>
      <w:pPr>
        <w:spacing w:line="480" w:lineRule="auto"/>
        <w:ind w:firstLine="0" w:firstLineChars="0"/>
        <w:jc w:val="center"/>
        <w:rPr>
          <w:rFonts w:hint="default" w:ascii="Times New Roman" w:hAnsi="Times New Roman" w:cs="Times New Roman"/>
          <w:b/>
          <w:bCs/>
          <w:color w:val="auto"/>
          <w:kern w:val="0"/>
          <w:sz w:val="44"/>
          <w:szCs w:val="44"/>
          <w:shd w:val="clear" w:color="auto" w:fill="FFFFFF"/>
          <w:lang w:bidi="ar"/>
        </w:rPr>
      </w:pPr>
    </w:p>
    <w:p>
      <w:pPr>
        <w:spacing w:line="480" w:lineRule="auto"/>
        <w:ind w:firstLine="0" w:firstLineChars="0"/>
        <w:jc w:val="center"/>
        <w:rPr>
          <w:rFonts w:hint="eastAsia" w:ascii="Times New Roman" w:hAnsi="Times New Roman" w:eastAsia="仿宋_GB2312" w:cs="Times New Roman"/>
          <w:b/>
          <w:bCs/>
          <w:color w:val="auto"/>
          <w:kern w:val="0"/>
          <w:sz w:val="44"/>
          <w:szCs w:val="44"/>
          <w:shd w:val="clear" w:color="auto" w:fill="FFFFFF"/>
          <w:lang w:val="en-US" w:eastAsia="zh-CN" w:bidi="ar"/>
        </w:rPr>
      </w:pPr>
    </w:p>
    <w:p>
      <w:pPr>
        <w:spacing w:line="480" w:lineRule="auto"/>
        <w:ind w:firstLine="0" w:firstLineChars="0"/>
        <w:jc w:val="center"/>
        <w:rPr>
          <w:rFonts w:hint="eastAsia" w:ascii="Times New Roman" w:hAnsi="Times New Roman" w:eastAsia="仿宋_GB2312" w:cs="Times New Roman"/>
          <w:b/>
          <w:bCs/>
          <w:color w:val="auto"/>
          <w:kern w:val="0"/>
          <w:sz w:val="44"/>
          <w:szCs w:val="44"/>
          <w:shd w:val="clear" w:color="auto" w:fill="FFFFFF"/>
          <w:lang w:val="en-US" w:eastAsia="zh-CN" w:bidi="ar"/>
        </w:rPr>
      </w:pPr>
    </w:p>
    <w:p>
      <w:pPr>
        <w:spacing w:line="480" w:lineRule="auto"/>
        <w:ind w:firstLine="0" w:firstLineChars="0"/>
        <w:jc w:val="center"/>
        <w:rPr>
          <w:rFonts w:hint="default" w:ascii="Times New Roman" w:hAnsi="Times New Roman" w:cs="Times New Roman"/>
          <w:b/>
          <w:bCs/>
          <w:color w:val="auto"/>
          <w:kern w:val="0"/>
          <w:sz w:val="44"/>
          <w:szCs w:val="44"/>
          <w:shd w:val="clear" w:color="auto" w:fill="FFFFFF"/>
          <w:lang w:bidi="ar"/>
        </w:rPr>
      </w:pPr>
    </w:p>
    <w:p>
      <w:pPr>
        <w:spacing w:line="480" w:lineRule="auto"/>
        <w:ind w:firstLine="0" w:firstLineChars="0"/>
        <w:jc w:val="center"/>
        <w:rPr>
          <w:rFonts w:hint="default" w:ascii="Times New Roman" w:hAnsi="Times New Roman" w:cs="Times New Roman"/>
          <w:b/>
          <w:bCs/>
          <w:color w:val="auto"/>
          <w:kern w:val="0"/>
          <w:sz w:val="40"/>
          <w:szCs w:val="40"/>
          <w:shd w:val="clear" w:color="auto" w:fill="FFFFFF"/>
          <w:lang w:bidi="ar"/>
        </w:rPr>
      </w:pPr>
      <w:r>
        <w:rPr>
          <w:rFonts w:hint="default" w:ascii="Times New Roman" w:hAnsi="Times New Roman" w:cs="Times New Roman"/>
          <w:b/>
          <w:bCs/>
          <w:color w:val="auto"/>
          <w:kern w:val="0"/>
          <w:sz w:val="40"/>
          <w:szCs w:val="40"/>
          <w:shd w:val="clear" w:color="auto" w:fill="FFFFFF"/>
          <w:lang w:bidi="ar"/>
        </w:rPr>
        <w:t>上海市奉贤区生态环境局</w:t>
      </w:r>
    </w:p>
    <w:p>
      <w:pPr>
        <w:spacing w:line="480" w:lineRule="auto"/>
        <w:ind w:firstLine="0" w:firstLineChars="0"/>
        <w:jc w:val="center"/>
        <w:rPr>
          <w:rFonts w:hint="default" w:ascii="Times New Roman" w:hAnsi="Times New Roman" w:cs="Times New Roman"/>
          <w:b/>
          <w:bCs/>
          <w:color w:val="auto"/>
          <w:kern w:val="0"/>
          <w:sz w:val="40"/>
          <w:szCs w:val="40"/>
          <w:shd w:val="clear" w:color="auto" w:fill="FFFFFF"/>
          <w:lang w:bidi="ar"/>
        </w:rPr>
      </w:pPr>
      <w:r>
        <w:rPr>
          <w:rFonts w:hint="default" w:ascii="Times New Roman" w:hAnsi="Times New Roman" w:cs="Times New Roman"/>
          <w:b/>
          <w:bCs/>
          <w:color w:val="auto"/>
          <w:kern w:val="0"/>
          <w:sz w:val="40"/>
          <w:szCs w:val="40"/>
          <w:shd w:val="clear" w:color="auto" w:fill="FFFFFF"/>
          <w:lang w:bidi="ar"/>
        </w:rPr>
        <w:t>202</w:t>
      </w:r>
      <w:r>
        <w:rPr>
          <w:rFonts w:hint="default" w:ascii="Times New Roman" w:hAnsi="Times New Roman" w:cs="Times New Roman"/>
          <w:b/>
          <w:bCs/>
          <w:color w:val="auto"/>
          <w:kern w:val="0"/>
          <w:sz w:val="40"/>
          <w:szCs w:val="40"/>
          <w:shd w:val="clear" w:color="auto" w:fill="FFFFFF"/>
          <w:lang w:val="en-US" w:eastAsia="zh-CN" w:bidi="ar"/>
        </w:rPr>
        <w:t>6</w:t>
      </w:r>
      <w:r>
        <w:rPr>
          <w:rFonts w:hint="default" w:ascii="Times New Roman" w:hAnsi="Times New Roman" w:cs="Times New Roman"/>
          <w:b/>
          <w:bCs/>
          <w:color w:val="auto"/>
          <w:kern w:val="0"/>
          <w:sz w:val="40"/>
          <w:szCs w:val="40"/>
          <w:shd w:val="clear" w:color="auto" w:fill="FFFFFF"/>
          <w:lang w:bidi="ar"/>
        </w:rPr>
        <w:t>年</w:t>
      </w:r>
      <w:r>
        <w:rPr>
          <w:rFonts w:hint="default" w:ascii="Times New Roman" w:hAnsi="Times New Roman" w:cs="Times New Roman"/>
          <w:b/>
          <w:bCs/>
          <w:color w:val="auto"/>
          <w:kern w:val="0"/>
          <w:sz w:val="40"/>
          <w:szCs w:val="40"/>
          <w:shd w:val="clear" w:color="auto" w:fill="FFFFFF"/>
          <w:lang w:val="en-US" w:eastAsia="zh-CN" w:bidi="ar"/>
        </w:rPr>
        <w:t>3</w:t>
      </w:r>
      <w:r>
        <w:rPr>
          <w:rFonts w:hint="default" w:ascii="Times New Roman" w:hAnsi="Times New Roman" w:cs="Times New Roman"/>
          <w:b/>
          <w:bCs/>
          <w:color w:val="auto"/>
          <w:kern w:val="0"/>
          <w:sz w:val="40"/>
          <w:szCs w:val="40"/>
          <w:shd w:val="clear" w:color="auto" w:fill="FFFFFF"/>
          <w:lang w:bidi="ar"/>
        </w:rPr>
        <w:t>月</w:t>
      </w:r>
    </w:p>
    <w:p>
      <w:pPr>
        <w:pStyle w:val="2"/>
        <w:spacing w:before="156" w:after="156"/>
        <w:rPr>
          <w:rFonts w:hint="default" w:ascii="Times New Roman" w:hAnsi="Times New Roman" w:cs="Times New Roman"/>
          <w:color w:val="auto"/>
        </w:rPr>
        <w:sectPr>
          <w:pgSz w:w="11906" w:h="16838"/>
          <w:pgMar w:top="1440" w:right="1800" w:bottom="1440" w:left="1800" w:header="851" w:footer="992" w:gutter="0"/>
          <w:cols w:space="425" w:num="1"/>
          <w:docGrid w:type="lines" w:linePitch="312" w:charSpace="0"/>
        </w:sectPr>
      </w:pPr>
    </w:p>
    <w:p>
      <w:pPr>
        <w:pStyle w:val="2"/>
        <w:pageBreakBefore w:val="0"/>
        <w:kinsoku/>
        <w:wordWrap/>
        <w:overflowPunct/>
        <w:topLinePunct w:val="0"/>
        <w:autoSpaceDE/>
        <w:autoSpaceDN/>
        <w:bidi w:val="0"/>
        <w:adjustRightInd/>
        <w:snapToGrid/>
        <w:spacing w:before="156" w:after="156" w:line="560" w:lineRule="exact"/>
        <w:textAlignment w:val="auto"/>
        <w:rPr>
          <w:rFonts w:hint="default" w:ascii="Times New Roman" w:hAnsi="Times New Roman" w:cs="Times New Roman"/>
          <w:color w:val="auto"/>
          <w:sz w:val="30"/>
          <w:szCs w:val="30"/>
        </w:rPr>
      </w:pPr>
      <w:r>
        <w:rPr>
          <w:rFonts w:hint="default" w:ascii="Times New Roman" w:hAnsi="Times New Roman" w:cs="Times New Roman"/>
          <w:color w:val="auto"/>
          <w:sz w:val="30"/>
          <w:szCs w:val="30"/>
        </w:rPr>
        <w:t>“十四五”工作</w:t>
      </w:r>
      <w:r>
        <w:rPr>
          <w:rFonts w:hint="default" w:ascii="Times New Roman" w:hAnsi="Times New Roman" w:cs="Times New Roman"/>
          <w:color w:val="auto"/>
          <w:sz w:val="30"/>
          <w:szCs w:val="30"/>
          <w:lang w:val="en-US" w:eastAsia="zh-CN"/>
        </w:rPr>
        <w:t>进展</w:t>
      </w:r>
    </w:p>
    <w:p>
      <w:pPr>
        <w:pageBreakBefore w:val="0"/>
        <w:kinsoku/>
        <w:wordWrap/>
        <w:overflowPunct/>
        <w:topLinePunct w:val="0"/>
        <w:autoSpaceDE/>
        <w:autoSpaceDN/>
        <w:bidi w:val="0"/>
        <w:adjustRightInd/>
        <w:snapToGrid/>
        <w:spacing w:line="560" w:lineRule="exact"/>
        <w:ind w:firstLine="600" w:firstLineChars="0"/>
        <w:textAlignment w:val="auto"/>
        <w:rPr>
          <w:rFonts w:hint="default" w:ascii="Times New Roman" w:hAnsi="Times New Roman" w:eastAsia="仿宋_GB2312" w:cs="Times New Roman"/>
          <w:b w:val="0"/>
          <w:bCs w:val="0"/>
          <w:color w:val="auto"/>
          <w:kern w:val="0"/>
          <w:sz w:val="30"/>
          <w:szCs w:val="30"/>
          <w:shd w:val="clear" w:color="auto" w:fill="FFFFFF"/>
          <w:lang w:val="en-US" w:eastAsia="zh-CN" w:bidi="ar"/>
        </w:rPr>
      </w:pPr>
      <w:r>
        <w:rPr>
          <w:rFonts w:hint="default" w:ascii="Times New Roman" w:hAnsi="Times New Roman" w:cs="Times New Roman"/>
          <w:b/>
          <w:bCs/>
          <w:color w:val="auto"/>
          <w:kern w:val="0"/>
          <w:sz w:val="30"/>
          <w:szCs w:val="30"/>
          <w:shd w:val="clear" w:color="auto" w:fill="FFFFFF"/>
          <w:lang w:val="en-US" w:eastAsia="zh-CN" w:bidi="ar"/>
        </w:rPr>
        <w:t>生态环境稳中有升。</w:t>
      </w:r>
      <w:r>
        <w:rPr>
          <w:rFonts w:hint="default" w:ascii="Times New Roman" w:hAnsi="Times New Roman" w:cs="Times New Roman"/>
          <w:b w:val="0"/>
          <w:bCs w:val="0"/>
          <w:color w:val="auto"/>
          <w:kern w:val="0"/>
          <w:sz w:val="30"/>
          <w:szCs w:val="30"/>
          <w:shd w:val="clear" w:color="auto" w:fill="FFFFFF"/>
          <w:lang w:val="en-US" w:eastAsia="zh-CN" w:bidi="ar"/>
        </w:rPr>
        <w:t>2025年，全区PM</w:t>
      </w:r>
      <w:r>
        <w:rPr>
          <w:rFonts w:hint="default" w:ascii="Times New Roman" w:hAnsi="Times New Roman" w:cs="Times New Roman"/>
          <w:b w:val="0"/>
          <w:bCs w:val="0"/>
          <w:color w:val="auto"/>
          <w:kern w:val="0"/>
          <w:sz w:val="30"/>
          <w:szCs w:val="30"/>
          <w:shd w:val="clear" w:color="auto" w:fill="FFFFFF"/>
          <w:vertAlign w:val="subscript"/>
          <w:lang w:val="en-US" w:eastAsia="zh-CN" w:bidi="ar"/>
        </w:rPr>
        <w:t>2.5</w:t>
      </w:r>
      <w:r>
        <w:rPr>
          <w:rFonts w:hint="default" w:ascii="Times New Roman" w:hAnsi="Times New Roman" w:cs="Times New Roman"/>
          <w:b w:val="0"/>
          <w:bCs w:val="0"/>
          <w:color w:val="auto"/>
          <w:kern w:val="0"/>
          <w:sz w:val="30"/>
          <w:szCs w:val="30"/>
          <w:shd w:val="clear" w:color="auto" w:fill="FFFFFF"/>
          <w:lang w:val="en-US" w:eastAsia="zh-CN" w:bidi="ar"/>
        </w:rPr>
        <w:t>年均浓度为26.8微克/立方米，较2020年下降</w:t>
      </w:r>
      <w:r>
        <w:rPr>
          <w:rFonts w:hint="eastAsia" w:ascii="Times New Roman" w:hAnsi="Times New Roman" w:cs="Times New Roman"/>
          <w:b w:val="0"/>
          <w:bCs w:val="0"/>
          <w:color w:val="auto"/>
          <w:kern w:val="0"/>
          <w:sz w:val="30"/>
          <w:szCs w:val="30"/>
          <w:shd w:val="clear" w:color="auto" w:fill="FFFFFF"/>
          <w:lang w:val="en-US" w:eastAsia="zh-CN" w:bidi="ar"/>
        </w:rPr>
        <w:t>9.8</w:t>
      </w:r>
      <w:r>
        <w:rPr>
          <w:rFonts w:hint="default" w:ascii="Times New Roman" w:hAnsi="Times New Roman" w:cs="Times New Roman"/>
          <w:b w:val="0"/>
          <w:bCs w:val="0"/>
          <w:color w:val="auto"/>
          <w:kern w:val="0"/>
          <w:sz w:val="30"/>
          <w:szCs w:val="30"/>
          <w:shd w:val="clear" w:color="auto" w:fill="FFFFFF"/>
          <w:lang w:val="en-US" w:eastAsia="zh-CN" w:bidi="ar"/>
        </w:rPr>
        <w:t>％；环境空气质量（AQI）优良天数比例达到88.7%；</w:t>
      </w:r>
      <w:r>
        <w:rPr>
          <w:rFonts w:hint="default" w:ascii="Times New Roman" w:hAnsi="Times New Roman" w:cs="Times New Roman"/>
          <w:b w:val="0"/>
          <w:bCs w:val="0"/>
          <w:color w:val="auto"/>
          <w:kern w:val="0"/>
          <w:sz w:val="30"/>
          <w:szCs w:val="30"/>
          <w:shd w:val="clear" w:color="auto" w:fill="FFFFFF"/>
          <w:lang w:bidi="ar"/>
        </w:rPr>
        <w:t>优</w:t>
      </w:r>
      <w:r>
        <w:rPr>
          <w:rFonts w:hint="default" w:ascii="Times New Roman" w:hAnsi="Times New Roman" w:eastAsia="仿宋_GB2312" w:cs="Times New Roman"/>
          <w:b w:val="0"/>
          <w:bCs w:val="0"/>
          <w:color w:val="auto"/>
          <w:kern w:val="0"/>
          <w:sz w:val="30"/>
          <w:szCs w:val="30"/>
          <w:shd w:val="clear" w:color="auto" w:fill="FFFFFF"/>
          <w:lang w:bidi="ar"/>
        </w:rPr>
        <w:t>Ⅲ</w:t>
      </w:r>
      <w:r>
        <w:rPr>
          <w:rFonts w:hint="default" w:ascii="Times New Roman" w:hAnsi="Times New Roman" w:cs="Times New Roman"/>
          <w:b w:val="0"/>
          <w:bCs w:val="0"/>
          <w:color w:val="auto"/>
          <w:kern w:val="0"/>
          <w:sz w:val="30"/>
          <w:szCs w:val="30"/>
          <w:shd w:val="clear" w:color="auto" w:fill="FFFFFF"/>
          <w:lang w:bidi="ar"/>
        </w:rPr>
        <w:t>类</w:t>
      </w:r>
      <w:r>
        <w:rPr>
          <w:rFonts w:hint="default" w:ascii="Times New Roman" w:hAnsi="Times New Roman" w:cs="Times New Roman"/>
          <w:b w:val="0"/>
          <w:bCs w:val="0"/>
          <w:color w:val="auto"/>
          <w:kern w:val="0"/>
          <w:sz w:val="30"/>
          <w:szCs w:val="30"/>
          <w:shd w:val="clear" w:color="auto" w:fill="FFFFFF"/>
          <w:lang w:eastAsia="zh-CN" w:bidi="ar"/>
        </w:rPr>
        <w:t>水体</w:t>
      </w:r>
      <w:r>
        <w:rPr>
          <w:rFonts w:hint="default" w:ascii="Times New Roman" w:hAnsi="Times New Roman" w:cs="Times New Roman"/>
          <w:b w:val="0"/>
          <w:bCs w:val="0"/>
          <w:color w:val="auto"/>
          <w:kern w:val="0"/>
          <w:sz w:val="30"/>
          <w:szCs w:val="30"/>
          <w:shd w:val="clear" w:color="auto" w:fill="FFFFFF"/>
          <w:lang w:bidi="ar"/>
        </w:rPr>
        <w:t>比例</w:t>
      </w:r>
      <w:r>
        <w:rPr>
          <w:rFonts w:hint="default" w:ascii="Times New Roman" w:hAnsi="Times New Roman" w:cs="Times New Roman"/>
          <w:b w:val="0"/>
          <w:bCs w:val="0"/>
          <w:color w:val="auto"/>
          <w:kern w:val="0"/>
          <w:sz w:val="30"/>
          <w:szCs w:val="30"/>
          <w:shd w:val="clear" w:color="auto" w:fill="FFFFFF"/>
          <w:lang w:val="en-US" w:eastAsia="zh-CN" w:bidi="ar"/>
        </w:rPr>
        <w:t>自2022年后持续达到100%；受污染耕地安全利用率及污染地块安全利用率均保持100%；公众生态环境满意度稳步提升，2025年达到83.19分，连续3年位</w:t>
      </w:r>
      <w:r>
        <w:rPr>
          <w:rFonts w:hint="default" w:ascii="Times New Roman" w:hAnsi="Times New Roman" w:cs="Times New Roman"/>
          <w:b w:val="0"/>
          <w:bCs w:val="0"/>
          <w:color w:val="auto"/>
          <w:kern w:val="0"/>
          <w:sz w:val="30"/>
          <w:szCs w:val="30"/>
          <w:highlight w:val="none"/>
          <w:shd w:val="clear" w:color="auto" w:fill="FFFFFF"/>
          <w:lang w:val="en-US" w:eastAsia="zh-CN" w:bidi="ar"/>
        </w:rPr>
        <w:t>列全市第2。成功创建为国家生态文明建设示范区。</w:t>
      </w:r>
      <w:r>
        <w:rPr>
          <w:rFonts w:hint="default" w:ascii="Times New Roman" w:hAnsi="Times New Roman" w:cs="Times New Roman"/>
          <w:b/>
          <w:bCs/>
          <w:color w:val="auto"/>
          <w:kern w:val="0"/>
          <w:sz w:val="30"/>
          <w:szCs w:val="30"/>
          <w:highlight w:val="none"/>
          <w:shd w:val="clear" w:color="auto" w:fill="FFFFFF"/>
          <w:lang w:val="en-US" w:eastAsia="zh-CN" w:bidi="ar"/>
        </w:rPr>
        <w:t>绿色发展水</w:t>
      </w:r>
      <w:r>
        <w:rPr>
          <w:rFonts w:hint="default" w:ascii="Times New Roman" w:hAnsi="Times New Roman" w:cs="Times New Roman"/>
          <w:b/>
          <w:bCs/>
          <w:color w:val="auto"/>
          <w:kern w:val="0"/>
          <w:sz w:val="30"/>
          <w:szCs w:val="30"/>
          <w:shd w:val="clear" w:color="auto" w:fill="FFFFFF"/>
          <w:lang w:val="en-US" w:eastAsia="zh-CN" w:bidi="ar"/>
        </w:rPr>
        <w:t>平有所提高。</w:t>
      </w:r>
      <w:r>
        <w:rPr>
          <w:rFonts w:hint="default" w:ascii="Times New Roman" w:hAnsi="Times New Roman" w:cs="Times New Roman"/>
          <w:color w:val="auto"/>
          <w:kern w:val="0"/>
          <w:sz w:val="30"/>
          <w:szCs w:val="30"/>
          <w:shd w:val="clear" w:color="auto" w:fill="FFFFFF"/>
          <w:lang w:bidi="ar"/>
        </w:rPr>
        <w:t>严格落实“三线一单”的分级分类管控要求，</w:t>
      </w:r>
      <w:r>
        <w:rPr>
          <w:rFonts w:hint="default" w:ascii="Times New Roman" w:hAnsi="Times New Roman" w:cs="Times New Roman"/>
          <w:color w:val="auto"/>
          <w:kern w:val="0"/>
          <w:sz w:val="30"/>
          <w:szCs w:val="30"/>
          <w:shd w:val="clear" w:color="auto" w:fill="FFFFFF"/>
          <w:lang w:val="en-US" w:eastAsia="zh-CN" w:bidi="ar"/>
        </w:rPr>
        <w:t>累计调整低效劣势企业727家，推动创建绿色园区2个、绿色工厂26家。全面打造</w:t>
      </w:r>
      <w:r>
        <w:rPr>
          <w:rFonts w:hint="default" w:ascii="Times New Roman" w:hAnsi="Times New Roman" w:cs="Times New Roman"/>
          <w:b w:val="0"/>
          <w:bCs w:val="0"/>
          <w:color w:val="auto"/>
          <w:kern w:val="0"/>
          <w:sz w:val="30"/>
          <w:szCs w:val="30"/>
          <w:shd w:val="clear" w:color="auto" w:fill="FFFFFF"/>
          <w:lang w:bidi="ar"/>
        </w:rPr>
        <w:t>绿色生态农业</w:t>
      </w:r>
      <w:r>
        <w:rPr>
          <w:rFonts w:hint="default" w:ascii="Times New Roman" w:hAnsi="Times New Roman" w:cs="Times New Roman"/>
          <w:b w:val="0"/>
          <w:bCs w:val="0"/>
          <w:color w:val="auto"/>
          <w:kern w:val="0"/>
          <w:sz w:val="30"/>
          <w:szCs w:val="30"/>
          <w:shd w:val="clear" w:color="auto" w:fill="FFFFFF"/>
          <w:lang w:eastAsia="zh-CN" w:bidi="ar"/>
        </w:rPr>
        <w:t>，畜禽粪污废弃物资源化综合利用率达到98%，</w:t>
      </w:r>
      <w:r>
        <w:rPr>
          <w:rFonts w:hint="default" w:ascii="Times New Roman" w:hAnsi="Times New Roman" w:cs="Times New Roman"/>
          <w:b w:val="0"/>
          <w:bCs w:val="0"/>
          <w:color w:val="auto"/>
          <w:kern w:val="0"/>
          <w:sz w:val="30"/>
          <w:szCs w:val="30"/>
          <w:shd w:val="clear" w:color="auto" w:fill="FFFFFF"/>
          <w:lang w:val="en-US" w:eastAsia="zh-CN" w:bidi="ar"/>
        </w:rPr>
        <w:t>建设</w:t>
      </w:r>
      <w:r>
        <w:rPr>
          <w:rFonts w:hint="default" w:ascii="Times New Roman" w:hAnsi="Times New Roman" w:cs="Times New Roman"/>
          <w:b w:val="0"/>
          <w:bCs w:val="0"/>
          <w:color w:val="auto"/>
          <w:kern w:val="0"/>
          <w:sz w:val="30"/>
          <w:szCs w:val="30"/>
          <w:shd w:val="clear" w:color="auto" w:fill="FFFFFF"/>
          <w:lang w:eastAsia="zh-CN" w:bidi="ar"/>
        </w:rPr>
        <w:t>水产健康养殖示范场</w:t>
      </w:r>
      <w:r>
        <w:rPr>
          <w:rFonts w:hint="default" w:ascii="Times New Roman" w:hAnsi="Times New Roman" w:cs="Times New Roman"/>
          <w:b w:val="0"/>
          <w:bCs w:val="0"/>
          <w:color w:val="auto"/>
          <w:kern w:val="0"/>
          <w:sz w:val="30"/>
          <w:szCs w:val="30"/>
          <w:shd w:val="clear" w:color="auto" w:fill="FFFFFF"/>
          <w:lang w:val="en-US" w:eastAsia="zh-CN" w:bidi="ar"/>
        </w:rPr>
        <w:t>15</w:t>
      </w:r>
      <w:r>
        <w:rPr>
          <w:rFonts w:hint="default" w:ascii="Times New Roman" w:hAnsi="Times New Roman" w:cs="Times New Roman"/>
          <w:b w:val="0"/>
          <w:bCs w:val="0"/>
          <w:color w:val="auto"/>
          <w:kern w:val="0"/>
          <w:sz w:val="30"/>
          <w:szCs w:val="30"/>
          <w:shd w:val="clear" w:color="auto" w:fill="FFFFFF"/>
          <w:lang w:eastAsia="zh-CN" w:bidi="ar"/>
        </w:rPr>
        <w:t>家，</w:t>
      </w:r>
      <w:r>
        <w:rPr>
          <w:rFonts w:hint="default" w:ascii="Times New Roman" w:hAnsi="Times New Roman" w:cs="Times New Roman"/>
          <w:b w:val="0"/>
          <w:bCs w:val="0"/>
          <w:color w:val="auto"/>
          <w:kern w:val="0"/>
          <w:sz w:val="30"/>
          <w:szCs w:val="30"/>
          <w:shd w:val="clear" w:color="auto" w:fill="FFFFFF"/>
          <w:lang w:bidi="ar"/>
        </w:rPr>
        <w:t>持续推广有机肥、测土配方施肥</w:t>
      </w:r>
      <w:r>
        <w:rPr>
          <w:rFonts w:hint="default" w:ascii="Times New Roman" w:hAnsi="Times New Roman" w:cs="Times New Roman"/>
          <w:b w:val="0"/>
          <w:bCs w:val="0"/>
          <w:color w:val="auto"/>
          <w:kern w:val="0"/>
          <w:sz w:val="30"/>
          <w:szCs w:val="30"/>
          <w:shd w:val="clear" w:color="auto" w:fill="FFFFFF"/>
          <w:lang w:eastAsia="zh-CN" w:bidi="ar"/>
        </w:rPr>
        <w:t>，</w:t>
      </w:r>
      <w:r>
        <w:rPr>
          <w:rFonts w:hint="default" w:ascii="Times New Roman" w:hAnsi="Times New Roman" w:cs="Times New Roman"/>
          <w:b w:val="0"/>
          <w:bCs w:val="0"/>
          <w:color w:val="auto"/>
          <w:kern w:val="0"/>
          <w:sz w:val="30"/>
          <w:szCs w:val="30"/>
          <w:highlight w:val="none"/>
          <w:shd w:val="clear" w:color="auto" w:fill="FFFFFF"/>
          <w:lang w:val="en-US" w:eastAsia="zh-CN" w:bidi="ar"/>
        </w:rPr>
        <w:t>绿色食品认证率近31.7%。</w:t>
      </w:r>
      <w:r>
        <w:rPr>
          <w:rFonts w:hint="default" w:ascii="Times New Roman" w:hAnsi="Times New Roman" w:cs="Times New Roman"/>
          <w:color w:val="auto"/>
          <w:kern w:val="0"/>
          <w:sz w:val="30"/>
          <w:szCs w:val="30"/>
          <w:shd w:val="clear" w:color="auto" w:fill="FFFFFF"/>
          <w:lang w:bidi="ar"/>
        </w:rPr>
        <w:t>累计创建市级乡村振兴示范村</w:t>
      </w:r>
      <w:r>
        <w:rPr>
          <w:rFonts w:hint="default" w:ascii="Times New Roman" w:hAnsi="Times New Roman" w:cs="Times New Roman"/>
          <w:color w:val="auto"/>
          <w:kern w:val="0"/>
          <w:sz w:val="30"/>
          <w:szCs w:val="30"/>
          <w:shd w:val="clear" w:color="auto" w:fill="FFFFFF"/>
          <w:lang w:val="en-US" w:eastAsia="zh-CN" w:bidi="ar"/>
        </w:rPr>
        <w:t>17</w:t>
      </w:r>
      <w:r>
        <w:rPr>
          <w:rFonts w:hint="default" w:ascii="Times New Roman" w:hAnsi="Times New Roman" w:cs="Times New Roman"/>
          <w:color w:val="auto"/>
          <w:kern w:val="0"/>
          <w:sz w:val="30"/>
          <w:szCs w:val="30"/>
          <w:shd w:val="clear" w:color="auto" w:fill="FFFFFF"/>
          <w:lang w:bidi="ar"/>
        </w:rPr>
        <w:t>个、市级美丽乡村示范村</w:t>
      </w:r>
      <w:r>
        <w:rPr>
          <w:rFonts w:hint="default" w:ascii="Times New Roman" w:hAnsi="Times New Roman" w:cs="Times New Roman"/>
          <w:color w:val="auto"/>
          <w:kern w:val="0"/>
          <w:sz w:val="30"/>
          <w:szCs w:val="30"/>
          <w:shd w:val="clear" w:color="auto" w:fill="FFFFFF"/>
          <w:lang w:val="en-US" w:eastAsia="zh-CN" w:bidi="ar"/>
        </w:rPr>
        <w:t>47</w:t>
      </w:r>
      <w:r>
        <w:rPr>
          <w:rFonts w:hint="default" w:ascii="Times New Roman" w:hAnsi="Times New Roman" w:cs="Times New Roman"/>
          <w:color w:val="auto"/>
          <w:kern w:val="0"/>
          <w:sz w:val="30"/>
          <w:szCs w:val="30"/>
          <w:shd w:val="clear" w:color="auto" w:fill="FFFFFF"/>
          <w:lang w:bidi="ar"/>
        </w:rPr>
        <w:t>个。</w:t>
      </w:r>
      <w:r>
        <w:rPr>
          <w:rFonts w:hint="default" w:ascii="Times New Roman" w:hAnsi="Times New Roman" w:cs="Times New Roman"/>
          <w:b/>
          <w:bCs/>
          <w:color w:val="auto"/>
          <w:kern w:val="0"/>
          <w:sz w:val="30"/>
          <w:szCs w:val="30"/>
          <w:shd w:val="clear" w:color="auto" w:fill="FFFFFF"/>
          <w:lang w:val="en-US" w:eastAsia="zh-CN" w:bidi="ar"/>
        </w:rPr>
        <w:t>环境处理处置能力全面提升。</w:t>
      </w:r>
      <w:r>
        <w:rPr>
          <w:rFonts w:hint="default" w:ascii="Times New Roman" w:hAnsi="Times New Roman" w:cs="Times New Roman"/>
          <w:b w:val="0"/>
          <w:bCs w:val="0"/>
          <w:color w:val="auto"/>
          <w:kern w:val="0"/>
          <w:sz w:val="30"/>
          <w:szCs w:val="30"/>
          <w:shd w:val="clear" w:color="auto" w:fill="FFFFFF"/>
          <w:lang w:val="en-US" w:eastAsia="zh-CN" w:bidi="ar"/>
        </w:rPr>
        <w:t>完成西部污水处理厂四期扩建工程，新增污水处理能力10万立方米/日，</w:t>
      </w:r>
      <w:r>
        <w:rPr>
          <w:rFonts w:hint="default" w:ascii="Times New Roman" w:hAnsi="Times New Roman" w:cs="Times New Roman"/>
          <w:bCs w:val="0"/>
          <w:color w:val="auto"/>
          <w:kern w:val="0"/>
          <w:sz w:val="30"/>
          <w:szCs w:val="30"/>
          <w:shd w:val="clear" w:color="auto" w:fill="FFFFFF"/>
          <w:lang w:bidi="ar"/>
        </w:rPr>
        <w:t>城镇污水处理率达到</w:t>
      </w:r>
      <w:r>
        <w:rPr>
          <w:rFonts w:hint="default" w:ascii="Times New Roman" w:hAnsi="Times New Roman" w:cs="Times New Roman"/>
          <w:bCs w:val="0"/>
          <w:color w:val="auto"/>
          <w:kern w:val="0"/>
          <w:sz w:val="30"/>
          <w:szCs w:val="30"/>
          <w:shd w:val="clear" w:color="auto" w:fill="FFFFFF"/>
          <w:lang w:val="en-US" w:eastAsia="zh-CN" w:bidi="ar"/>
        </w:rPr>
        <w:t>99.09</w:t>
      </w:r>
      <w:r>
        <w:rPr>
          <w:rFonts w:hint="default" w:ascii="Times New Roman" w:hAnsi="Times New Roman" w:cs="Times New Roman"/>
          <w:bCs w:val="0"/>
          <w:color w:val="auto"/>
          <w:kern w:val="0"/>
          <w:sz w:val="30"/>
          <w:szCs w:val="30"/>
          <w:shd w:val="clear" w:color="auto" w:fill="FFFFFF"/>
          <w:lang w:bidi="ar"/>
        </w:rPr>
        <w:t>%</w:t>
      </w:r>
      <w:r>
        <w:rPr>
          <w:rFonts w:hint="default" w:ascii="Times New Roman" w:hAnsi="Times New Roman" w:cs="Times New Roman"/>
          <w:bCs w:val="0"/>
          <w:color w:val="auto"/>
          <w:kern w:val="0"/>
          <w:sz w:val="30"/>
          <w:szCs w:val="30"/>
          <w:shd w:val="clear" w:color="auto" w:fill="FFFFFF"/>
          <w:lang w:eastAsia="zh-CN" w:bidi="ar"/>
        </w:rPr>
        <w:t>，污水厂污泥无害化处理率保持100%。规划保留村落农村生活污水处理基本实现全覆盖，</w:t>
      </w:r>
      <w:r>
        <w:rPr>
          <w:rFonts w:hint="default" w:ascii="Times New Roman" w:hAnsi="Times New Roman" w:cs="Times New Roman"/>
          <w:bCs w:val="0"/>
          <w:color w:val="auto"/>
          <w:kern w:val="0"/>
          <w:sz w:val="30"/>
          <w:szCs w:val="30"/>
          <w:shd w:val="clear" w:color="auto" w:fill="FFFFFF"/>
          <w:lang w:val="en-US" w:eastAsia="zh-CN" w:bidi="ar"/>
        </w:rPr>
        <w:t>完成全区8个街镇农村生活污水提标改造项目</w:t>
      </w:r>
      <w:r>
        <w:rPr>
          <w:rFonts w:hint="default" w:ascii="Times New Roman" w:hAnsi="Times New Roman" w:cs="Times New Roman"/>
          <w:bCs w:val="0"/>
          <w:color w:val="auto"/>
          <w:kern w:val="0"/>
          <w:sz w:val="30"/>
          <w:szCs w:val="30"/>
          <w:shd w:val="clear" w:color="auto" w:fill="FFFFFF"/>
          <w:lang w:eastAsia="zh-CN" w:bidi="ar"/>
        </w:rPr>
        <w:t>。</w:t>
      </w:r>
      <w:r>
        <w:rPr>
          <w:rFonts w:hint="default" w:ascii="Times New Roman" w:hAnsi="Times New Roman" w:cs="Times New Roman"/>
          <w:b w:val="0"/>
          <w:bCs w:val="0"/>
          <w:color w:val="auto"/>
          <w:kern w:val="0"/>
          <w:sz w:val="30"/>
          <w:szCs w:val="30"/>
          <w:shd w:val="clear" w:color="auto" w:fill="FFFFFF"/>
          <w:lang w:bidi="ar"/>
        </w:rPr>
        <w:t>制定出台《奉贤区“无废城市”建设实施方案》</w:t>
      </w:r>
      <w:r>
        <w:rPr>
          <w:rFonts w:hint="default" w:ascii="Times New Roman" w:hAnsi="Times New Roman" w:cs="Times New Roman"/>
          <w:b w:val="0"/>
          <w:bCs w:val="0"/>
          <w:color w:val="auto"/>
          <w:kern w:val="0"/>
          <w:sz w:val="30"/>
          <w:szCs w:val="30"/>
          <w:shd w:val="clear" w:color="auto" w:fill="FFFFFF"/>
          <w:lang w:eastAsia="zh-CN" w:bidi="ar"/>
        </w:rPr>
        <w:t>，</w:t>
      </w:r>
      <w:r>
        <w:rPr>
          <w:rFonts w:hint="default" w:ascii="Times New Roman" w:hAnsi="Times New Roman" w:cs="Times New Roman"/>
          <w:bCs w:val="0"/>
          <w:color w:val="auto"/>
          <w:kern w:val="0"/>
          <w:sz w:val="30"/>
          <w:szCs w:val="30"/>
          <w:shd w:val="clear" w:color="auto" w:fill="FFFFFF"/>
          <w:lang w:eastAsia="zh-CN" w:bidi="ar"/>
        </w:rPr>
        <w:t>建成再生能源综合利用中心2座，焚烧处理能力达到2000吨/天；</w:t>
      </w:r>
      <w:r>
        <w:rPr>
          <w:rFonts w:hint="default" w:ascii="Times New Roman" w:hAnsi="Times New Roman" w:cs="Times New Roman"/>
          <w:color w:val="auto"/>
          <w:kern w:val="0"/>
          <w:sz w:val="30"/>
          <w:szCs w:val="30"/>
          <w:shd w:val="clear" w:color="auto" w:fill="FFFFFF"/>
          <w:lang w:eastAsia="zh-CN" w:bidi="ar"/>
        </w:rPr>
        <w:t>建成生物能源再利用中心1座，湿垃圾处理能力达530吨；</w:t>
      </w:r>
      <w:r>
        <w:rPr>
          <w:rFonts w:hint="default" w:ascii="Times New Roman" w:hAnsi="Times New Roman" w:cs="Times New Roman"/>
          <w:color w:val="auto"/>
          <w:kern w:val="0"/>
          <w:sz w:val="30"/>
          <w:szCs w:val="30"/>
          <w:shd w:val="clear" w:color="auto" w:fill="FFFFFF"/>
          <w:lang w:val="en-US" w:eastAsia="zh-CN" w:bidi="ar"/>
        </w:rPr>
        <w:t>全区</w:t>
      </w:r>
      <w:r>
        <w:rPr>
          <w:rFonts w:hint="default" w:ascii="Times New Roman" w:hAnsi="Times New Roman" w:cs="Times New Roman"/>
          <w:bCs w:val="0"/>
          <w:color w:val="auto"/>
          <w:kern w:val="0"/>
          <w:sz w:val="30"/>
          <w:szCs w:val="30"/>
          <w:shd w:val="clear" w:color="auto" w:fill="FFFFFF"/>
          <w:lang w:eastAsia="zh-CN" w:bidi="ar"/>
        </w:rPr>
        <w:t>生活垃圾回收利用率达到</w:t>
      </w:r>
      <w:r>
        <w:rPr>
          <w:rFonts w:hint="default" w:ascii="Times New Roman" w:hAnsi="Times New Roman" w:cs="Times New Roman"/>
          <w:bCs w:val="0"/>
          <w:color w:val="auto"/>
          <w:kern w:val="0"/>
          <w:sz w:val="30"/>
          <w:szCs w:val="30"/>
          <w:shd w:val="clear" w:color="auto" w:fill="FFFFFF"/>
          <w:lang w:val="en-US" w:eastAsia="zh-CN" w:bidi="ar"/>
        </w:rPr>
        <w:t>46.4</w:t>
      </w:r>
      <w:r>
        <w:rPr>
          <w:rFonts w:hint="default" w:ascii="Times New Roman" w:hAnsi="Times New Roman" w:cs="Times New Roman"/>
          <w:bCs w:val="0"/>
          <w:color w:val="auto"/>
          <w:kern w:val="0"/>
          <w:sz w:val="30"/>
          <w:szCs w:val="30"/>
          <w:shd w:val="clear" w:color="auto" w:fill="FFFFFF"/>
          <w:lang w:eastAsia="zh-CN" w:bidi="ar"/>
        </w:rPr>
        <w:t>%，较2020年提高</w:t>
      </w:r>
      <w:r>
        <w:rPr>
          <w:rFonts w:hint="default" w:ascii="Times New Roman" w:hAnsi="Times New Roman" w:cs="Times New Roman"/>
          <w:bCs w:val="0"/>
          <w:color w:val="auto"/>
          <w:kern w:val="0"/>
          <w:sz w:val="30"/>
          <w:szCs w:val="30"/>
          <w:shd w:val="clear" w:color="auto" w:fill="FFFFFF"/>
          <w:lang w:val="en-US" w:eastAsia="zh-CN" w:bidi="ar"/>
        </w:rPr>
        <w:t>8.4</w:t>
      </w:r>
      <w:r>
        <w:rPr>
          <w:rFonts w:hint="default" w:ascii="Times New Roman" w:hAnsi="Times New Roman" w:cs="Times New Roman"/>
          <w:bCs w:val="0"/>
          <w:color w:val="auto"/>
          <w:kern w:val="0"/>
          <w:sz w:val="30"/>
          <w:szCs w:val="30"/>
          <w:shd w:val="clear" w:color="auto" w:fill="FFFFFF"/>
          <w:lang w:eastAsia="zh-CN" w:bidi="ar"/>
        </w:rPr>
        <w:t>个百分点。</w:t>
      </w:r>
      <w:r>
        <w:rPr>
          <w:rFonts w:hint="default" w:ascii="Times New Roman" w:hAnsi="Times New Roman" w:cs="Times New Roman"/>
          <w:color w:val="auto"/>
          <w:kern w:val="0"/>
          <w:sz w:val="30"/>
          <w:szCs w:val="30"/>
          <w:shd w:val="clear" w:color="auto" w:fill="FFFFFF"/>
          <w:lang w:bidi="ar"/>
        </w:rPr>
        <w:t>持续推进危险废物规范化检查工作</w:t>
      </w:r>
      <w:r>
        <w:rPr>
          <w:rFonts w:hint="default" w:ascii="Times New Roman" w:hAnsi="Times New Roman" w:cs="Times New Roman"/>
          <w:color w:val="auto"/>
          <w:kern w:val="0"/>
          <w:sz w:val="30"/>
          <w:szCs w:val="30"/>
          <w:shd w:val="clear" w:color="auto" w:fill="FFFFFF"/>
          <w:lang w:eastAsia="zh-CN" w:bidi="ar"/>
        </w:rPr>
        <w:t>，</w:t>
      </w:r>
      <w:r>
        <w:rPr>
          <w:rFonts w:hint="default" w:ascii="Times New Roman" w:hAnsi="Times New Roman" w:cs="Times New Roman"/>
          <w:color w:val="auto"/>
          <w:kern w:val="0"/>
          <w:sz w:val="30"/>
          <w:szCs w:val="30"/>
          <w:shd w:val="clear" w:color="auto" w:fill="FFFFFF"/>
          <w:lang w:bidi="ar"/>
        </w:rPr>
        <w:t>建成2处危废小微收集平台，正式启用小型医疗机构医疗废物收运平台。</w:t>
      </w:r>
      <w:r>
        <w:rPr>
          <w:rFonts w:hint="default" w:ascii="Times New Roman" w:hAnsi="Times New Roman" w:cs="Times New Roman"/>
          <w:b/>
          <w:bCs/>
          <w:color w:val="auto"/>
          <w:kern w:val="0"/>
          <w:sz w:val="30"/>
          <w:szCs w:val="30"/>
          <w:shd w:val="clear" w:color="auto" w:fill="FFFFFF"/>
          <w:lang w:val="en-US" w:eastAsia="zh-CN" w:bidi="ar"/>
        </w:rPr>
        <w:t>生态体系逐步优化。</w:t>
      </w:r>
      <w:r>
        <w:rPr>
          <w:rFonts w:hint="default" w:ascii="Times New Roman" w:hAnsi="Times New Roman" w:cs="Times New Roman"/>
          <w:b w:val="0"/>
          <w:bCs w:val="0"/>
          <w:color w:val="auto"/>
          <w:kern w:val="0"/>
          <w:sz w:val="30"/>
          <w:szCs w:val="30"/>
          <w:shd w:val="clear" w:color="auto" w:fill="FFFFFF"/>
          <w:lang w:val="en-US" w:eastAsia="zh-CN" w:bidi="ar"/>
        </w:rPr>
        <w:t>积极构建形成由区域公园（郊野公园）、城市公园、地区公园、社区公园（村级公园）为主体的城乡公园体系，累计建成生态廊道2340亩，新增各类绿地近488公顷，建成区绿化覆盖率达到42.8%。完成5个街镇共计38.09公里的生态清洁小流域示范点建设。推进奉贤滨海海洋生态保护修复项目。完成奉贤庄行狗獾种群自然引迁工程。“十四五”期间获评中国最具生态竞争力的城市、中国气候宜居城市等荣誉称号。</w:t>
      </w:r>
      <w:r>
        <w:rPr>
          <w:rFonts w:hint="default" w:ascii="Times New Roman" w:hAnsi="Times New Roman" w:cs="Times New Roman"/>
          <w:b/>
          <w:bCs/>
          <w:color w:val="auto"/>
          <w:kern w:val="0"/>
          <w:sz w:val="30"/>
          <w:szCs w:val="30"/>
          <w:shd w:val="clear" w:color="auto" w:fill="FFFFFF"/>
          <w:lang w:val="en-US" w:eastAsia="zh-CN" w:bidi="ar"/>
        </w:rPr>
        <w:t>现代化治理率体系逐步强化。</w:t>
      </w:r>
      <w:r>
        <w:rPr>
          <w:rFonts w:hint="default" w:ascii="Times New Roman" w:hAnsi="Times New Roman" w:cs="Times New Roman"/>
          <w:b w:val="0"/>
          <w:bCs w:val="0"/>
          <w:color w:val="auto"/>
          <w:kern w:val="0"/>
          <w:sz w:val="30"/>
          <w:szCs w:val="30"/>
          <w:shd w:val="clear" w:color="auto" w:fill="FFFFFF"/>
          <w:lang w:val="en-US" w:eastAsia="zh-CN" w:bidi="ar"/>
        </w:rPr>
        <w:t>率先出台《奉贤区企业环保“领跑者”遴选行动实施方案（试行）》，遴选出首批35家污染减排、环境管理处于行业领先水平的环保“领跑者”企业。</w:t>
      </w:r>
      <w:r>
        <w:rPr>
          <w:rFonts w:hint="default" w:ascii="Times New Roman" w:hAnsi="Times New Roman" w:cs="Times New Roman"/>
          <w:color w:val="auto"/>
          <w:kern w:val="0"/>
          <w:sz w:val="30"/>
          <w:szCs w:val="30"/>
          <w:shd w:val="clear" w:color="auto" w:fill="FFFFFF"/>
          <w:lang w:val="en-US" w:eastAsia="zh-CN" w:bidi="ar"/>
        </w:rPr>
        <w:t>3家企业</w:t>
      </w:r>
      <w:r>
        <w:rPr>
          <w:rFonts w:hint="default" w:ascii="Times New Roman" w:hAnsi="Times New Roman" w:cs="Times New Roman"/>
          <w:b w:val="0"/>
          <w:bCs w:val="0"/>
          <w:color w:val="auto"/>
          <w:kern w:val="0"/>
          <w:sz w:val="30"/>
          <w:szCs w:val="30"/>
          <w:shd w:val="clear" w:color="auto" w:fill="FFFFFF"/>
          <w:lang w:val="en-US" w:eastAsia="zh-CN" w:bidi="ar"/>
        </w:rPr>
        <w:t>完成</w:t>
      </w:r>
      <w:r>
        <w:rPr>
          <w:rFonts w:hint="default" w:ascii="Times New Roman" w:hAnsi="Times New Roman" w:cs="Times New Roman"/>
          <w:color w:val="auto"/>
          <w:kern w:val="0"/>
          <w:sz w:val="30"/>
          <w:szCs w:val="30"/>
          <w:shd w:val="clear" w:color="auto" w:fill="FFFFFF"/>
          <w:lang w:val="en-US" w:eastAsia="zh-CN" w:bidi="ar"/>
        </w:rPr>
        <w:t>绿色供应链示范创建。除星火开发区外，全区104地块工业园区均完成区域规划环评，联动区域建设项目环评享受免于办理环境影响评价手续、简化环境影响评价形式、优化公众参与等政策。建设奉贤区“智慧环保”大系统，整合形成环境质量平台、互联网+在线监测平台，新建“第三方环保服务监管平台”。以南桥镇为试点，建立跨环境要素（气、水、固废、噪声）一站式管理和治理，打通生态环境基层治理“最小单元”功能。成功创建3家市级环境教育基地。</w:t>
      </w:r>
    </w:p>
    <w:p>
      <w:pPr>
        <w:pStyle w:val="2"/>
        <w:pageBreakBefore w:val="0"/>
        <w:kinsoku/>
        <w:wordWrap/>
        <w:overflowPunct/>
        <w:topLinePunct w:val="0"/>
        <w:autoSpaceDE/>
        <w:autoSpaceDN/>
        <w:bidi w:val="0"/>
        <w:adjustRightInd/>
        <w:snapToGrid/>
        <w:spacing w:before="156" w:after="156" w:line="560" w:lineRule="exact"/>
        <w:textAlignment w:val="auto"/>
        <w:rPr>
          <w:rFonts w:hint="default" w:ascii="Times New Roman" w:hAnsi="Times New Roman" w:cs="Times New Roman"/>
          <w:color w:val="auto"/>
          <w:sz w:val="30"/>
          <w:szCs w:val="30"/>
        </w:rPr>
      </w:pPr>
      <w:r>
        <w:rPr>
          <w:rFonts w:hint="default" w:ascii="Times New Roman" w:hAnsi="Times New Roman" w:cs="Times New Roman"/>
          <w:color w:val="auto"/>
          <w:sz w:val="30"/>
          <w:szCs w:val="30"/>
        </w:rPr>
        <w:t>形势分析</w:t>
      </w:r>
    </w:p>
    <w:p>
      <w:pPr>
        <w:pageBreakBefore w:val="0"/>
        <w:kinsoku/>
        <w:wordWrap/>
        <w:overflowPunct/>
        <w:topLinePunct w:val="0"/>
        <w:autoSpaceDE/>
        <w:autoSpaceDN/>
        <w:bidi w:val="0"/>
        <w:adjustRightInd/>
        <w:snapToGrid/>
        <w:spacing w:line="240" w:lineRule="auto"/>
        <w:ind w:firstLine="600" w:firstLineChars="0"/>
        <w:textAlignment w:val="auto"/>
        <w:rPr>
          <w:rFonts w:hint="default" w:ascii="Times New Roman" w:hAnsi="Times New Roman" w:cs="Times New Roman"/>
          <w:color w:val="auto"/>
          <w:kern w:val="0"/>
          <w:sz w:val="30"/>
          <w:szCs w:val="30"/>
          <w:shd w:val="clear" w:color="auto" w:fill="FFFFFF"/>
          <w:lang w:bidi="ar"/>
        </w:rPr>
      </w:pPr>
      <w:r>
        <w:rPr>
          <w:rFonts w:hint="default" w:ascii="Times New Roman" w:hAnsi="Times New Roman" w:cs="Times New Roman"/>
          <w:color w:val="auto"/>
          <w:kern w:val="0"/>
          <w:sz w:val="30"/>
          <w:szCs w:val="30"/>
          <w:highlight w:val="none"/>
          <w:shd w:val="clear" w:color="auto" w:fill="FFFFFF"/>
          <w:lang w:bidi="ar"/>
        </w:rPr>
        <w:t>作为上海“五个新城”之一，奉贤区定位为</w:t>
      </w:r>
      <w:r>
        <w:rPr>
          <w:rFonts w:hint="default" w:ascii="Times New Roman" w:hAnsi="Times New Roman" w:cs="Times New Roman"/>
          <w:color w:val="auto"/>
          <w:kern w:val="0"/>
          <w:sz w:val="30"/>
          <w:szCs w:val="30"/>
          <w:highlight w:val="none"/>
          <w:shd w:val="clear" w:color="auto" w:fill="FFFFFF"/>
          <w:lang w:eastAsia="zh-CN" w:bidi="ar"/>
        </w:rPr>
        <w:t>“</w:t>
      </w:r>
      <w:r>
        <w:rPr>
          <w:rFonts w:hint="default" w:ascii="Times New Roman" w:hAnsi="Times New Roman" w:cs="Times New Roman"/>
          <w:color w:val="auto"/>
          <w:kern w:val="0"/>
          <w:sz w:val="30"/>
          <w:szCs w:val="30"/>
          <w:highlight w:val="none"/>
          <w:shd w:val="clear" w:color="auto" w:fill="FFFFFF"/>
          <w:lang w:bidi="ar"/>
        </w:rPr>
        <w:t>自贸区新片区西部门户、南上海城市中心、长三角活力新城</w:t>
      </w:r>
      <w:r>
        <w:rPr>
          <w:rFonts w:hint="default" w:ascii="Times New Roman" w:hAnsi="Times New Roman" w:cs="Times New Roman"/>
          <w:color w:val="auto"/>
          <w:kern w:val="0"/>
          <w:sz w:val="30"/>
          <w:szCs w:val="30"/>
          <w:highlight w:val="none"/>
          <w:shd w:val="clear" w:color="auto" w:fill="FFFFFF"/>
          <w:lang w:eastAsia="zh-CN" w:bidi="ar"/>
        </w:rPr>
        <w:t>”</w:t>
      </w:r>
      <w:r>
        <w:rPr>
          <w:rFonts w:hint="default" w:ascii="Times New Roman" w:hAnsi="Times New Roman" w:cs="Times New Roman"/>
          <w:color w:val="auto"/>
          <w:kern w:val="0"/>
          <w:sz w:val="30"/>
          <w:szCs w:val="30"/>
          <w:highlight w:val="none"/>
          <w:shd w:val="clear" w:color="auto" w:fill="FFFFFF"/>
          <w:lang w:bidi="ar"/>
        </w:rPr>
        <w:t>，</w:t>
      </w:r>
      <w:r>
        <w:rPr>
          <w:rFonts w:hint="default" w:ascii="Times New Roman" w:hAnsi="Times New Roman" w:cs="Times New Roman"/>
          <w:color w:val="auto"/>
          <w:kern w:val="0"/>
          <w:sz w:val="30"/>
          <w:szCs w:val="30"/>
          <w:highlight w:val="none"/>
          <w:shd w:val="clear" w:color="auto" w:fill="FFFFFF"/>
          <w:lang w:val="en-US" w:eastAsia="zh-CN" w:bidi="ar"/>
        </w:rPr>
        <w:t>是</w:t>
      </w:r>
      <w:r>
        <w:rPr>
          <w:rFonts w:hint="default" w:ascii="Times New Roman" w:hAnsi="Times New Roman" w:cs="Times New Roman"/>
          <w:color w:val="auto"/>
          <w:kern w:val="0"/>
          <w:sz w:val="30"/>
          <w:szCs w:val="30"/>
          <w:highlight w:val="none"/>
          <w:shd w:val="clear" w:color="auto" w:fill="FFFFFF"/>
          <w:lang w:bidi="ar"/>
        </w:rPr>
        <w:t>上海</w:t>
      </w:r>
      <w:r>
        <w:rPr>
          <w:rFonts w:hint="default" w:ascii="Times New Roman" w:hAnsi="Times New Roman" w:cs="Times New Roman"/>
          <w:color w:val="auto"/>
          <w:kern w:val="0"/>
          <w:sz w:val="30"/>
          <w:szCs w:val="30"/>
          <w:shd w:val="clear" w:color="auto" w:fill="FFFFFF"/>
          <w:lang w:bidi="ar"/>
        </w:rPr>
        <w:t>未来发展战略空间和重要增长极。</w:t>
      </w:r>
      <w:r>
        <w:rPr>
          <w:rFonts w:hint="default" w:ascii="Times New Roman" w:hAnsi="Times New Roman" w:cs="Times New Roman"/>
          <w:color w:val="auto"/>
          <w:kern w:val="0"/>
          <w:sz w:val="30"/>
          <w:szCs w:val="30"/>
          <w:shd w:val="clear" w:color="auto" w:fill="FFFFFF"/>
          <w:lang w:val="en-US" w:eastAsia="zh-CN" w:bidi="ar"/>
        </w:rPr>
        <w:t>对照未来五年的新形势、新任务、新要求、新期待以及美丽上海、美丽奉贤的建设目标，还存在差距和短板。</w:t>
      </w:r>
      <w:r>
        <w:rPr>
          <w:rFonts w:hint="default" w:ascii="Times New Roman" w:hAnsi="Times New Roman" w:cs="Times New Roman"/>
          <w:b/>
          <w:bCs/>
          <w:color w:val="auto"/>
          <w:kern w:val="0"/>
          <w:sz w:val="30"/>
          <w:szCs w:val="30"/>
          <w:shd w:val="clear" w:color="auto" w:fill="FFFFFF"/>
          <w:lang w:val="en-US" w:eastAsia="zh-CN" w:bidi="ar"/>
        </w:rPr>
        <w:t>一是</w:t>
      </w:r>
      <w:r>
        <w:rPr>
          <w:rFonts w:hint="default" w:ascii="Times New Roman" w:hAnsi="Times New Roman" w:cs="Times New Roman"/>
          <w:b/>
          <w:bCs/>
          <w:color w:val="auto"/>
          <w:sz w:val="30"/>
          <w:szCs w:val="30"/>
        </w:rPr>
        <w:t>生</w:t>
      </w:r>
      <w:r>
        <w:rPr>
          <w:rFonts w:hint="default" w:ascii="Times New Roman" w:hAnsi="Times New Roman" w:cs="Times New Roman"/>
          <w:b/>
          <w:bCs/>
          <w:color w:val="auto"/>
          <w:kern w:val="0"/>
          <w:sz w:val="30"/>
          <w:szCs w:val="30"/>
          <w:shd w:val="clear" w:color="auto" w:fill="FFFFFF"/>
          <w:lang w:bidi="ar"/>
        </w:rPr>
        <w:t>态环境质量改善</w:t>
      </w:r>
      <w:r>
        <w:rPr>
          <w:rFonts w:hint="default" w:ascii="Times New Roman" w:hAnsi="Times New Roman" w:cs="Times New Roman"/>
          <w:b/>
          <w:bCs/>
          <w:color w:val="auto"/>
          <w:kern w:val="0"/>
          <w:sz w:val="30"/>
          <w:szCs w:val="30"/>
          <w:shd w:val="clear" w:color="auto" w:fill="FFFFFF"/>
          <w:lang w:val="en-US" w:eastAsia="zh-CN" w:bidi="ar"/>
        </w:rPr>
        <w:t>成效</w:t>
      </w:r>
      <w:r>
        <w:rPr>
          <w:rFonts w:hint="default" w:ascii="Times New Roman" w:hAnsi="Times New Roman" w:cs="Times New Roman"/>
          <w:b/>
          <w:bCs/>
          <w:color w:val="auto"/>
          <w:kern w:val="0"/>
          <w:sz w:val="30"/>
          <w:szCs w:val="30"/>
          <w:shd w:val="clear" w:color="auto" w:fill="FFFFFF"/>
          <w:lang w:bidi="ar"/>
        </w:rPr>
        <w:t>并不稳固</w:t>
      </w:r>
      <w:r>
        <w:rPr>
          <w:rFonts w:hint="default" w:ascii="Times New Roman" w:hAnsi="Times New Roman" w:cs="Times New Roman"/>
          <w:b/>
          <w:bCs/>
          <w:color w:val="auto"/>
          <w:kern w:val="0"/>
          <w:sz w:val="30"/>
          <w:szCs w:val="30"/>
          <w:shd w:val="clear" w:color="auto" w:fill="FFFFFF"/>
          <w:lang w:eastAsia="zh-CN" w:bidi="ar"/>
        </w:rPr>
        <w:t>。</w:t>
      </w:r>
      <w:r>
        <w:rPr>
          <w:rFonts w:hint="default" w:ascii="Times New Roman" w:hAnsi="Times New Roman" w:cs="Times New Roman"/>
          <w:b w:val="0"/>
          <w:bCs w:val="0"/>
          <w:color w:val="auto"/>
          <w:kern w:val="0"/>
          <w:sz w:val="30"/>
          <w:szCs w:val="30"/>
          <w:shd w:val="clear" w:color="auto" w:fill="FFFFFF"/>
          <w:lang w:bidi="ar"/>
        </w:rPr>
        <w:t>大气环境复合型、区域性问题依旧突出</w:t>
      </w:r>
      <w:r>
        <w:rPr>
          <w:rFonts w:hint="default" w:ascii="Times New Roman" w:hAnsi="Times New Roman" w:cs="Times New Roman"/>
          <w:b w:val="0"/>
          <w:bCs w:val="0"/>
          <w:color w:val="auto"/>
          <w:kern w:val="0"/>
          <w:sz w:val="30"/>
          <w:szCs w:val="30"/>
          <w:shd w:val="clear" w:color="auto" w:fill="FFFFFF"/>
          <w:lang w:eastAsia="zh-CN" w:bidi="ar"/>
        </w:rPr>
        <w:t>；</w:t>
      </w:r>
      <w:r>
        <w:rPr>
          <w:rFonts w:hint="default" w:ascii="Times New Roman" w:hAnsi="Times New Roman" w:cs="Times New Roman"/>
          <w:b w:val="0"/>
          <w:bCs w:val="0"/>
          <w:color w:val="auto"/>
          <w:kern w:val="0"/>
          <w:sz w:val="30"/>
          <w:szCs w:val="30"/>
          <w:shd w:val="clear" w:color="auto" w:fill="FFFFFF"/>
          <w:lang w:bidi="ar"/>
        </w:rPr>
        <w:t>水环境局部性污染影响较为明显</w:t>
      </w:r>
      <w:r>
        <w:rPr>
          <w:rFonts w:hint="default" w:ascii="Times New Roman" w:hAnsi="Times New Roman" w:cs="Times New Roman"/>
          <w:b w:val="0"/>
          <w:bCs w:val="0"/>
          <w:color w:val="auto"/>
          <w:kern w:val="0"/>
          <w:sz w:val="30"/>
          <w:szCs w:val="30"/>
          <w:shd w:val="clear" w:color="auto" w:fill="FFFFFF"/>
          <w:lang w:eastAsia="zh-CN" w:bidi="ar"/>
        </w:rPr>
        <w:t>；</w:t>
      </w:r>
      <w:r>
        <w:rPr>
          <w:rFonts w:hint="default" w:ascii="Times New Roman" w:hAnsi="Times New Roman" w:cs="Times New Roman"/>
          <w:color w:val="auto"/>
          <w:kern w:val="0"/>
          <w:sz w:val="30"/>
          <w:szCs w:val="30"/>
          <w:shd w:val="clear" w:color="auto" w:fill="FFFFFF"/>
          <w:lang w:bidi="ar"/>
        </w:rPr>
        <w:t>生态空间总量</w:t>
      </w:r>
      <w:r>
        <w:rPr>
          <w:rFonts w:hint="default" w:ascii="Times New Roman" w:hAnsi="Times New Roman" w:cs="Times New Roman"/>
          <w:color w:val="auto"/>
          <w:kern w:val="0"/>
          <w:sz w:val="30"/>
          <w:szCs w:val="30"/>
          <w:shd w:val="clear" w:color="auto" w:fill="FFFFFF"/>
          <w:lang w:val="en-US" w:eastAsia="zh-CN" w:bidi="ar"/>
        </w:rPr>
        <w:t>较</w:t>
      </w:r>
      <w:r>
        <w:rPr>
          <w:rFonts w:hint="default" w:ascii="Times New Roman" w:hAnsi="Times New Roman" w:cs="Times New Roman"/>
          <w:color w:val="auto"/>
          <w:kern w:val="0"/>
          <w:sz w:val="30"/>
          <w:szCs w:val="30"/>
          <w:shd w:val="clear" w:color="auto" w:fill="FFFFFF"/>
          <w:lang w:bidi="ar"/>
        </w:rPr>
        <w:t>规划仍有较大差距</w:t>
      </w:r>
      <w:r>
        <w:rPr>
          <w:rFonts w:hint="default" w:ascii="Times New Roman" w:hAnsi="Times New Roman" w:cs="Times New Roman"/>
          <w:color w:val="auto"/>
          <w:kern w:val="0"/>
          <w:sz w:val="30"/>
          <w:szCs w:val="30"/>
          <w:shd w:val="clear" w:color="auto" w:fill="FFFFFF"/>
          <w:lang w:eastAsia="zh-CN" w:bidi="ar"/>
        </w:rPr>
        <w:t>，</w:t>
      </w:r>
      <w:r>
        <w:rPr>
          <w:rFonts w:hint="default" w:ascii="Times New Roman" w:hAnsi="Times New Roman" w:cs="Times New Roman"/>
          <w:color w:val="auto"/>
          <w:kern w:val="0"/>
          <w:sz w:val="30"/>
          <w:szCs w:val="30"/>
          <w:shd w:val="clear" w:color="auto" w:fill="FFFFFF"/>
          <w:lang w:val="en-US" w:eastAsia="zh-CN" w:bidi="ar"/>
        </w:rPr>
        <w:t>生态安全面临压力</w:t>
      </w:r>
      <w:r>
        <w:rPr>
          <w:rFonts w:hint="default" w:ascii="Times New Roman" w:hAnsi="Times New Roman" w:cs="Times New Roman"/>
          <w:b w:val="0"/>
          <w:bCs w:val="0"/>
          <w:color w:val="auto"/>
          <w:kern w:val="0"/>
          <w:sz w:val="30"/>
          <w:szCs w:val="30"/>
          <w:shd w:val="clear" w:color="auto" w:fill="FFFFFF"/>
          <w:lang w:bidi="ar"/>
        </w:rPr>
        <w:t>。</w:t>
      </w:r>
      <w:r>
        <w:rPr>
          <w:rFonts w:hint="default" w:ascii="Times New Roman" w:hAnsi="Times New Roman" w:cs="Times New Roman"/>
          <w:b/>
          <w:bCs/>
          <w:color w:val="auto"/>
          <w:kern w:val="0"/>
          <w:sz w:val="30"/>
          <w:szCs w:val="30"/>
          <w:shd w:val="clear" w:color="auto" w:fill="FFFFFF"/>
          <w:lang w:val="en-US" w:eastAsia="zh-CN" w:bidi="ar"/>
        </w:rPr>
        <w:t>二是</w:t>
      </w:r>
      <w:r>
        <w:rPr>
          <w:rFonts w:hint="default" w:ascii="Times New Roman" w:hAnsi="Times New Roman" w:cs="Times New Roman"/>
          <w:b/>
          <w:bCs/>
          <w:color w:val="auto"/>
          <w:sz w:val="30"/>
          <w:szCs w:val="30"/>
        </w:rPr>
        <w:t>绿色低碳转型发展任重道远</w:t>
      </w:r>
      <w:r>
        <w:rPr>
          <w:rFonts w:hint="default" w:ascii="Times New Roman" w:hAnsi="Times New Roman" w:cs="Times New Roman"/>
          <w:b/>
          <w:bCs/>
          <w:color w:val="auto"/>
          <w:sz w:val="30"/>
          <w:szCs w:val="30"/>
          <w:lang w:eastAsia="zh-CN"/>
        </w:rPr>
        <w:t>。</w:t>
      </w:r>
      <w:r>
        <w:rPr>
          <w:rFonts w:hint="default" w:ascii="Times New Roman" w:hAnsi="Times New Roman" w:cs="Times New Roman"/>
          <w:color w:val="auto"/>
          <w:kern w:val="0"/>
          <w:sz w:val="30"/>
          <w:szCs w:val="30"/>
          <w:shd w:val="clear" w:color="auto" w:fill="FFFFFF"/>
          <w:lang w:bidi="ar"/>
        </w:rPr>
        <w:t>区域能源消费总量呈波动上升趋势</w:t>
      </w:r>
      <w:r>
        <w:rPr>
          <w:rFonts w:hint="default" w:ascii="Times New Roman" w:hAnsi="Times New Roman" w:cs="Times New Roman"/>
          <w:color w:val="auto"/>
          <w:kern w:val="0"/>
          <w:sz w:val="30"/>
          <w:szCs w:val="30"/>
          <w:shd w:val="clear" w:color="auto" w:fill="FFFFFF"/>
          <w:lang w:eastAsia="zh-CN" w:bidi="ar"/>
        </w:rPr>
        <w:t>，</w:t>
      </w:r>
      <w:r>
        <w:rPr>
          <w:rFonts w:hint="default" w:ascii="Times New Roman" w:hAnsi="Times New Roman" w:cs="Times New Roman"/>
          <w:color w:val="auto"/>
          <w:kern w:val="0"/>
          <w:sz w:val="30"/>
          <w:szCs w:val="30"/>
          <w:shd w:val="clear" w:color="auto" w:fill="FFFFFF"/>
          <w:lang w:val="en-US" w:eastAsia="zh-CN" w:bidi="ar"/>
        </w:rPr>
        <w:t>产业</w:t>
      </w:r>
      <w:r>
        <w:rPr>
          <w:rFonts w:hint="default" w:ascii="Times New Roman" w:hAnsi="Times New Roman" w:cs="Times New Roman"/>
          <w:color w:val="auto"/>
          <w:kern w:val="0"/>
          <w:sz w:val="30"/>
          <w:szCs w:val="30"/>
          <w:shd w:val="clear" w:color="auto" w:fill="FFFFFF"/>
          <w:lang w:bidi="ar"/>
        </w:rPr>
        <w:t>处于动能转换、转型升级攻坚期，制造业绿色新动能不足</w:t>
      </w:r>
      <w:r>
        <w:rPr>
          <w:rFonts w:hint="default" w:ascii="Times New Roman" w:hAnsi="Times New Roman" w:cs="Times New Roman"/>
          <w:color w:val="auto"/>
          <w:kern w:val="0"/>
          <w:sz w:val="30"/>
          <w:szCs w:val="30"/>
          <w:shd w:val="clear" w:color="auto" w:fill="FFFFFF"/>
          <w:lang w:eastAsia="zh-CN" w:bidi="ar"/>
        </w:rPr>
        <w:t>。</w:t>
      </w:r>
      <w:r>
        <w:rPr>
          <w:rFonts w:hint="default" w:ascii="Times New Roman" w:hAnsi="Times New Roman" w:cs="Times New Roman"/>
          <w:b/>
          <w:bCs/>
          <w:color w:val="auto"/>
          <w:kern w:val="0"/>
          <w:sz w:val="30"/>
          <w:szCs w:val="30"/>
          <w:shd w:val="clear" w:color="auto" w:fill="FFFFFF"/>
          <w:lang w:val="en-US" w:eastAsia="zh-CN" w:bidi="ar"/>
        </w:rPr>
        <w:t>三是</w:t>
      </w:r>
      <w:r>
        <w:rPr>
          <w:rFonts w:hint="default" w:ascii="Times New Roman" w:hAnsi="Times New Roman" w:cs="Times New Roman"/>
          <w:b/>
          <w:bCs/>
          <w:color w:val="auto"/>
          <w:sz w:val="30"/>
          <w:szCs w:val="30"/>
        </w:rPr>
        <w:t>环境基础设施建设仍有短板</w:t>
      </w:r>
      <w:r>
        <w:rPr>
          <w:rFonts w:hint="default" w:ascii="Times New Roman" w:hAnsi="Times New Roman" w:cs="Times New Roman"/>
          <w:b/>
          <w:bCs/>
          <w:color w:val="auto"/>
          <w:sz w:val="30"/>
          <w:szCs w:val="30"/>
          <w:lang w:eastAsia="zh-CN"/>
        </w:rPr>
        <w:t>。</w:t>
      </w:r>
      <w:r>
        <w:rPr>
          <w:rFonts w:hint="default" w:ascii="Times New Roman" w:hAnsi="Times New Roman" w:cs="Times New Roman"/>
          <w:color w:val="auto"/>
          <w:kern w:val="0"/>
          <w:szCs w:val="30"/>
          <w:shd w:val="clear" w:color="auto" w:fill="FFFFFF"/>
          <w:lang w:bidi="ar"/>
        </w:rPr>
        <w:t>排水基础设施建设和管养需加强，管理体制需进一步优化完善</w:t>
      </w:r>
      <w:r>
        <w:rPr>
          <w:rFonts w:hint="default" w:ascii="Times New Roman" w:hAnsi="Times New Roman" w:cs="Times New Roman"/>
          <w:color w:val="auto"/>
          <w:kern w:val="0"/>
          <w:szCs w:val="30"/>
          <w:shd w:val="clear" w:color="auto" w:fill="FFFFFF"/>
          <w:lang w:eastAsia="zh-CN" w:bidi="ar"/>
        </w:rPr>
        <w:t>；</w:t>
      </w:r>
      <w:r>
        <w:rPr>
          <w:rFonts w:hint="default" w:ascii="Times New Roman" w:hAnsi="Times New Roman" w:cs="Times New Roman"/>
          <w:color w:val="auto"/>
          <w:kern w:val="0"/>
          <w:szCs w:val="30"/>
          <w:shd w:val="clear" w:color="auto" w:fill="FFFFFF"/>
          <w:lang w:val="en-US" w:eastAsia="zh-CN" w:bidi="ar"/>
        </w:rPr>
        <w:t>固废源头减量</w:t>
      </w:r>
      <w:r>
        <w:rPr>
          <w:rFonts w:hint="default" w:ascii="Times New Roman" w:hAnsi="Times New Roman" w:cs="Times New Roman"/>
          <w:b w:val="0"/>
          <w:bCs w:val="0"/>
          <w:color w:val="auto"/>
          <w:kern w:val="0"/>
          <w:sz w:val="30"/>
          <w:szCs w:val="30"/>
          <w:highlight w:val="none"/>
          <w:shd w:val="clear" w:color="auto" w:fill="FFFFFF"/>
          <w:lang w:val="en-US" w:eastAsia="zh-CN" w:bidi="ar"/>
        </w:rPr>
        <w:t>和资源利用主观共识和采取措施有限，信息化管理水平不足。</w:t>
      </w:r>
      <w:r>
        <w:rPr>
          <w:rFonts w:hint="default" w:ascii="Times New Roman" w:hAnsi="Times New Roman" w:cs="Times New Roman"/>
          <w:b/>
          <w:bCs/>
          <w:color w:val="auto"/>
          <w:kern w:val="0"/>
          <w:sz w:val="30"/>
          <w:szCs w:val="30"/>
          <w:highlight w:val="none"/>
          <w:shd w:val="clear" w:color="auto" w:fill="FFFFFF"/>
          <w:lang w:val="en-US" w:eastAsia="zh-CN" w:bidi="ar"/>
        </w:rPr>
        <w:t>四是</w:t>
      </w:r>
      <w:r>
        <w:rPr>
          <w:rFonts w:hint="default" w:ascii="Times New Roman" w:hAnsi="Times New Roman" w:cs="Times New Roman"/>
          <w:b/>
          <w:bCs/>
          <w:color w:val="auto"/>
          <w:sz w:val="30"/>
          <w:szCs w:val="30"/>
        </w:rPr>
        <w:t>现代环境治理能力还需强化</w:t>
      </w:r>
      <w:r>
        <w:rPr>
          <w:rFonts w:hint="default" w:ascii="Times New Roman" w:hAnsi="Times New Roman" w:cs="Times New Roman"/>
          <w:b/>
          <w:bCs/>
          <w:color w:val="auto"/>
          <w:sz w:val="30"/>
          <w:szCs w:val="30"/>
          <w:lang w:eastAsia="zh-CN"/>
        </w:rPr>
        <w:t>。</w:t>
      </w:r>
      <w:r>
        <w:rPr>
          <w:rFonts w:hint="default" w:ascii="Times New Roman" w:hAnsi="Times New Roman" w:cs="Times New Roman"/>
          <w:color w:val="auto"/>
          <w:kern w:val="0"/>
          <w:sz w:val="30"/>
          <w:szCs w:val="30"/>
          <w:shd w:val="clear" w:color="auto" w:fill="FFFFFF"/>
          <w:lang w:bidi="ar"/>
        </w:rPr>
        <w:t>主动发现问题机制不健全，跨部门齐抓共管机制需完善</w:t>
      </w:r>
      <w:r>
        <w:rPr>
          <w:rFonts w:hint="default" w:ascii="Times New Roman" w:hAnsi="Times New Roman" w:cs="Times New Roman"/>
          <w:color w:val="auto"/>
          <w:kern w:val="0"/>
          <w:sz w:val="30"/>
          <w:szCs w:val="30"/>
          <w:shd w:val="clear" w:color="auto" w:fill="FFFFFF"/>
          <w:lang w:eastAsia="zh-CN" w:bidi="ar"/>
        </w:rPr>
        <w:t>；</w:t>
      </w:r>
      <w:r>
        <w:rPr>
          <w:rFonts w:hint="default" w:ascii="Times New Roman" w:hAnsi="Times New Roman" w:cs="Times New Roman"/>
          <w:color w:val="auto"/>
          <w:kern w:val="0"/>
          <w:sz w:val="30"/>
          <w:szCs w:val="30"/>
          <w:shd w:val="clear" w:color="auto" w:fill="FFFFFF"/>
          <w:lang w:bidi="ar"/>
        </w:rPr>
        <w:t>基层环保力量薄弱，网格化管理不健全</w:t>
      </w:r>
      <w:r>
        <w:rPr>
          <w:rFonts w:hint="default" w:ascii="Times New Roman" w:hAnsi="Times New Roman" w:cs="Times New Roman"/>
          <w:color w:val="auto"/>
          <w:kern w:val="0"/>
          <w:sz w:val="30"/>
          <w:szCs w:val="30"/>
          <w:shd w:val="clear" w:color="auto" w:fill="FFFFFF"/>
          <w:lang w:eastAsia="zh-CN" w:bidi="ar"/>
        </w:rPr>
        <w:t>；</w:t>
      </w:r>
      <w:r>
        <w:rPr>
          <w:rFonts w:hint="default" w:ascii="Times New Roman" w:hAnsi="Times New Roman" w:cs="Times New Roman"/>
          <w:color w:val="auto"/>
          <w:kern w:val="0"/>
          <w:sz w:val="30"/>
          <w:szCs w:val="30"/>
          <w:shd w:val="clear" w:color="auto" w:fill="FFFFFF"/>
          <w:lang w:bidi="ar"/>
        </w:rPr>
        <w:t>监管新技术运用不足</w:t>
      </w:r>
      <w:r>
        <w:rPr>
          <w:rFonts w:hint="default" w:ascii="Times New Roman" w:hAnsi="Times New Roman" w:cs="Times New Roman"/>
          <w:color w:val="auto"/>
          <w:kern w:val="0"/>
          <w:sz w:val="30"/>
          <w:szCs w:val="30"/>
          <w:shd w:val="clear" w:color="auto" w:fill="FFFFFF"/>
          <w:lang w:eastAsia="zh-CN" w:bidi="ar"/>
        </w:rPr>
        <w:t>。</w:t>
      </w:r>
    </w:p>
    <w:p>
      <w:pPr>
        <w:pStyle w:val="2"/>
        <w:pageBreakBefore w:val="0"/>
        <w:kinsoku/>
        <w:wordWrap/>
        <w:overflowPunct/>
        <w:topLinePunct w:val="0"/>
        <w:autoSpaceDE/>
        <w:autoSpaceDN/>
        <w:bidi w:val="0"/>
        <w:adjustRightInd/>
        <w:snapToGrid/>
        <w:spacing w:before="156" w:after="156" w:line="560" w:lineRule="exact"/>
        <w:textAlignment w:val="auto"/>
        <w:rPr>
          <w:rFonts w:hint="default" w:ascii="Times New Roman" w:hAnsi="Times New Roman" w:cs="Times New Roman"/>
          <w:color w:val="auto"/>
          <w:sz w:val="30"/>
          <w:szCs w:val="30"/>
        </w:rPr>
      </w:pPr>
      <w:r>
        <w:rPr>
          <w:rFonts w:hint="default" w:ascii="Times New Roman" w:hAnsi="Times New Roman" w:cs="Times New Roman"/>
          <w:color w:val="auto"/>
          <w:sz w:val="30"/>
          <w:szCs w:val="30"/>
          <w:lang w:val="en-US" w:eastAsia="zh-CN"/>
        </w:rPr>
        <w:t>总体要求和目标</w:t>
      </w:r>
    </w:p>
    <w:p>
      <w:pPr>
        <w:pStyle w:val="3"/>
        <w:pageBreakBefore w:val="0"/>
        <w:numPr>
          <w:ilvl w:val="0"/>
          <w:numId w:val="5"/>
        </w:numPr>
        <w:kinsoku/>
        <w:wordWrap/>
        <w:overflowPunct/>
        <w:topLinePunct w:val="0"/>
        <w:autoSpaceDE/>
        <w:autoSpaceDN/>
        <w:bidi w:val="0"/>
        <w:adjustRightInd/>
        <w:snapToGrid/>
        <w:spacing w:before="156" w:after="156" w:line="560" w:lineRule="exact"/>
        <w:textAlignment w:val="auto"/>
        <w:rPr>
          <w:rFonts w:hint="default" w:ascii="Times New Roman" w:hAnsi="Times New Roman" w:cs="Times New Roman"/>
          <w:color w:val="auto"/>
          <w:sz w:val="30"/>
          <w:szCs w:val="30"/>
        </w:rPr>
      </w:pPr>
      <w:r>
        <w:rPr>
          <w:rFonts w:hint="default" w:ascii="Times New Roman" w:hAnsi="Times New Roman" w:cs="Times New Roman"/>
          <w:color w:val="auto"/>
          <w:sz w:val="30"/>
          <w:szCs w:val="30"/>
          <w:lang w:val="en-US" w:eastAsia="zh-CN"/>
        </w:rPr>
        <w:t>总体要求</w:t>
      </w:r>
    </w:p>
    <w:p>
      <w:pPr>
        <w:spacing w:line="240" w:lineRule="auto"/>
        <w:ind w:firstLine="600" w:firstLineChars="0"/>
        <w:rPr>
          <w:rFonts w:hint="default" w:ascii="Times New Roman" w:hAnsi="Times New Roman" w:cs="Times New Roman"/>
          <w:color w:val="auto"/>
          <w:kern w:val="0"/>
          <w:sz w:val="30"/>
          <w:szCs w:val="30"/>
          <w:shd w:val="clear" w:color="auto" w:fill="FFFFFF"/>
          <w:lang w:bidi="ar"/>
        </w:rPr>
      </w:pPr>
      <w:r>
        <w:rPr>
          <w:rFonts w:hint="default" w:ascii="Times New Roman" w:hAnsi="Times New Roman" w:cs="Times New Roman"/>
          <w:color w:val="auto"/>
          <w:kern w:val="0"/>
          <w:sz w:val="30"/>
          <w:szCs w:val="30"/>
          <w:shd w:val="clear" w:color="auto" w:fill="FFFFFF"/>
          <w:lang w:bidi="ar"/>
        </w:rPr>
        <w:t>坚持以习近平新时代中国特色社会主义思想为指导，深入贯彻党的二十大和二十届</w:t>
      </w:r>
      <w:r>
        <w:rPr>
          <w:rFonts w:hint="default" w:ascii="Times New Roman" w:hAnsi="Times New Roman" w:cs="Times New Roman"/>
          <w:color w:val="auto"/>
          <w:kern w:val="0"/>
          <w:sz w:val="30"/>
          <w:szCs w:val="30"/>
          <w:shd w:val="clear" w:color="auto" w:fill="FFFFFF"/>
          <w:lang w:val="en-US" w:eastAsia="zh-CN" w:bidi="ar"/>
        </w:rPr>
        <w:t>历次</w:t>
      </w:r>
      <w:r>
        <w:rPr>
          <w:rFonts w:hint="default" w:ascii="Times New Roman" w:hAnsi="Times New Roman" w:cs="Times New Roman"/>
          <w:color w:val="auto"/>
          <w:kern w:val="0"/>
          <w:sz w:val="30"/>
          <w:szCs w:val="30"/>
          <w:shd w:val="clear" w:color="auto" w:fill="FFFFFF"/>
          <w:lang w:bidi="ar"/>
        </w:rPr>
        <w:t>全会精神，全面贯彻习近平总书记考察上海重要讲话精神和对上海工作的重要指示要求，</w:t>
      </w:r>
      <w:r>
        <w:rPr>
          <w:rFonts w:hint="default" w:ascii="Times New Roman" w:hAnsi="Times New Roman" w:cs="Times New Roman"/>
          <w:color w:val="auto"/>
          <w:kern w:val="0"/>
          <w:sz w:val="30"/>
          <w:szCs w:val="30"/>
          <w:shd w:val="clear" w:color="auto" w:fill="FFFFFF"/>
          <w:lang w:val="en-US" w:eastAsia="zh-CN" w:bidi="ar"/>
        </w:rPr>
        <w:t>以全面推进美丽奉贤建设为主线，协同推进降碳、减污、扩绿、增长，统筹绿色低碳高质量发展，持续深入污染防治攻坚，巩固国家生态文明建设示范区创建成果，打造南上海生态名城</w:t>
      </w:r>
      <w:r>
        <w:rPr>
          <w:rFonts w:hint="default" w:ascii="Times New Roman" w:hAnsi="Times New Roman" w:eastAsia="仿宋_GB2312" w:cs="Times New Roman"/>
          <w:i w:val="0"/>
          <w:iCs w:val="0"/>
          <w:caps w:val="0"/>
          <w:color w:val="auto"/>
          <w:spacing w:val="0"/>
          <w:kern w:val="0"/>
          <w:sz w:val="30"/>
          <w:szCs w:val="30"/>
          <w:shd w:val="clear" w:color="auto" w:fill="FFFFFF"/>
          <w:lang w:val="en-US" w:eastAsia="zh-CN" w:bidi="ar"/>
        </w:rPr>
        <w:t>。</w:t>
      </w:r>
    </w:p>
    <w:p>
      <w:pPr>
        <w:pStyle w:val="3"/>
        <w:pageBreakBefore w:val="0"/>
        <w:numPr>
          <w:ilvl w:val="0"/>
          <w:numId w:val="5"/>
        </w:numPr>
        <w:kinsoku/>
        <w:wordWrap/>
        <w:overflowPunct/>
        <w:topLinePunct w:val="0"/>
        <w:autoSpaceDE/>
        <w:autoSpaceDN/>
        <w:bidi w:val="0"/>
        <w:adjustRightInd/>
        <w:snapToGrid/>
        <w:spacing w:before="156" w:after="156" w:line="560" w:lineRule="exact"/>
        <w:textAlignment w:val="auto"/>
        <w:rPr>
          <w:rFonts w:hint="default" w:ascii="Times New Roman" w:hAnsi="Times New Roman" w:cs="Times New Roman"/>
          <w:color w:val="auto"/>
          <w:sz w:val="30"/>
          <w:szCs w:val="30"/>
        </w:rPr>
      </w:pPr>
      <w:r>
        <w:rPr>
          <w:rFonts w:hint="default" w:ascii="Times New Roman" w:hAnsi="Times New Roman" w:cs="Times New Roman"/>
          <w:color w:val="auto"/>
          <w:sz w:val="30"/>
          <w:szCs w:val="30"/>
          <w:lang w:val="en-US" w:eastAsia="zh-CN"/>
        </w:rPr>
        <w:t>主要</w:t>
      </w:r>
      <w:r>
        <w:rPr>
          <w:rFonts w:hint="default" w:ascii="Times New Roman" w:hAnsi="Times New Roman" w:cs="Times New Roman"/>
          <w:color w:val="auto"/>
          <w:sz w:val="30"/>
          <w:szCs w:val="30"/>
        </w:rPr>
        <w:t>目标</w:t>
      </w:r>
    </w:p>
    <w:p>
      <w:pPr>
        <w:pageBreakBefore w:val="0"/>
        <w:kinsoku/>
        <w:wordWrap/>
        <w:overflowPunct/>
        <w:topLinePunct w:val="0"/>
        <w:autoSpaceDE/>
        <w:autoSpaceDN/>
        <w:bidi w:val="0"/>
        <w:adjustRightInd/>
        <w:snapToGrid/>
        <w:spacing w:line="560" w:lineRule="exact"/>
        <w:ind w:firstLine="600"/>
        <w:textAlignment w:val="auto"/>
        <w:rPr>
          <w:rFonts w:hint="default" w:ascii="Times New Roman" w:hAnsi="Times New Roman" w:cs="Times New Roman"/>
          <w:color w:val="auto"/>
          <w:sz w:val="30"/>
          <w:szCs w:val="30"/>
        </w:rPr>
      </w:pPr>
      <w:bookmarkStart w:id="0" w:name="OLE_LINK35"/>
      <w:r>
        <w:rPr>
          <w:rFonts w:hint="default" w:ascii="Times New Roman" w:hAnsi="Times New Roman" w:cs="Times New Roman"/>
          <w:color w:val="auto"/>
          <w:sz w:val="30"/>
          <w:szCs w:val="30"/>
        </w:rPr>
        <w:t>到2030年，如期实现碳达峰，碳排放强度持续下降，主要污染物排放总量减少。PM</w:t>
      </w:r>
      <w:r>
        <w:rPr>
          <w:rFonts w:hint="default" w:ascii="Times New Roman" w:hAnsi="Times New Roman" w:cs="Times New Roman"/>
          <w:color w:val="auto"/>
          <w:sz w:val="30"/>
          <w:szCs w:val="30"/>
          <w:vertAlign w:val="subscript"/>
        </w:rPr>
        <w:t>2.5</w:t>
      </w:r>
      <w:r>
        <w:rPr>
          <w:rFonts w:hint="default" w:ascii="Times New Roman" w:hAnsi="Times New Roman" w:cs="Times New Roman"/>
          <w:color w:val="auto"/>
          <w:sz w:val="30"/>
          <w:szCs w:val="30"/>
        </w:rPr>
        <w:t>浓度稳步下降，地表水环境总体优良，土壤、地下水、声环境质量稳中向好，杭州湾奉贤段建成美丽海湾。生态系统服务功能增强，“无废城市”建设落地见效，新污染物防控体系健全，环境治理能力短板加快补齐。</w:t>
      </w:r>
      <w:bookmarkEnd w:id="0"/>
    </w:p>
    <w:p>
      <w:pPr>
        <w:pageBreakBefore w:val="0"/>
        <w:kinsoku/>
        <w:wordWrap/>
        <w:overflowPunct/>
        <w:topLinePunct w:val="0"/>
        <w:autoSpaceDE/>
        <w:autoSpaceDN/>
        <w:bidi w:val="0"/>
        <w:adjustRightInd/>
        <w:snapToGrid/>
        <w:spacing w:line="560" w:lineRule="exact"/>
        <w:ind w:firstLine="600"/>
        <w:textAlignment w:val="auto"/>
        <w:rPr>
          <w:rFonts w:hint="default" w:ascii="Times New Roman" w:hAnsi="Times New Roman" w:cs="Times New Roman"/>
          <w:color w:val="auto"/>
          <w:sz w:val="30"/>
          <w:szCs w:val="30"/>
        </w:rPr>
      </w:pPr>
      <w:r>
        <w:rPr>
          <w:rFonts w:hint="default" w:ascii="Times New Roman" w:hAnsi="Times New Roman" w:cs="Times New Roman"/>
          <w:color w:val="auto"/>
          <w:sz w:val="30"/>
          <w:szCs w:val="30"/>
        </w:rPr>
        <w:t>到2035年，绿色生产生活方式广泛形成，碳排放达峰后稳中有降，生态环境根本好转，国土空间开发保护新格局形成，生态系统多样性、稳定性、稳定性显著提升，生态环境治理体系和治理能力现代化基本实现，美丽奉贤总体建成。</w:t>
      </w:r>
    </w:p>
    <w:p>
      <w:pPr>
        <w:pStyle w:val="2"/>
        <w:pageBreakBefore w:val="0"/>
        <w:kinsoku/>
        <w:wordWrap/>
        <w:overflowPunct/>
        <w:topLinePunct w:val="0"/>
        <w:autoSpaceDE/>
        <w:autoSpaceDN/>
        <w:bidi w:val="0"/>
        <w:adjustRightInd/>
        <w:snapToGrid/>
        <w:spacing w:before="156" w:after="156" w:line="560" w:lineRule="exact"/>
        <w:textAlignment w:val="auto"/>
        <w:rPr>
          <w:rFonts w:hint="default" w:ascii="Times New Roman" w:hAnsi="Times New Roman" w:cs="Times New Roman"/>
          <w:color w:val="auto"/>
          <w:sz w:val="30"/>
          <w:szCs w:val="30"/>
        </w:rPr>
      </w:pPr>
      <w:r>
        <w:rPr>
          <w:rFonts w:hint="default" w:ascii="Times New Roman" w:hAnsi="Times New Roman" w:cs="Times New Roman"/>
          <w:color w:val="auto"/>
          <w:sz w:val="30"/>
          <w:szCs w:val="30"/>
        </w:rPr>
        <w:t>“十五五”重点工作</w:t>
      </w:r>
    </w:p>
    <w:p>
      <w:pPr>
        <w:pStyle w:val="3"/>
        <w:pageBreakBefore w:val="0"/>
        <w:numPr>
          <w:ilvl w:val="0"/>
          <w:numId w:val="6"/>
        </w:numPr>
        <w:kinsoku/>
        <w:wordWrap/>
        <w:overflowPunct/>
        <w:topLinePunct w:val="0"/>
        <w:autoSpaceDE/>
        <w:autoSpaceDN/>
        <w:bidi w:val="0"/>
        <w:adjustRightInd/>
        <w:snapToGrid/>
        <w:spacing w:before="156" w:after="156" w:line="560" w:lineRule="exact"/>
        <w:textAlignment w:val="auto"/>
        <w:rPr>
          <w:rFonts w:hint="default" w:ascii="Times New Roman" w:hAnsi="Times New Roman" w:cs="Times New Roman"/>
          <w:color w:val="auto"/>
          <w:sz w:val="30"/>
          <w:szCs w:val="30"/>
        </w:rPr>
      </w:pPr>
      <w:r>
        <w:rPr>
          <w:rFonts w:hint="default" w:ascii="Times New Roman" w:hAnsi="Times New Roman" w:cs="Times New Roman"/>
          <w:color w:val="auto"/>
          <w:sz w:val="30"/>
          <w:szCs w:val="30"/>
        </w:rPr>
        <w:t>加快发展方式转型，实现绿色低碳高质量发展</w:t>
      </w:r>
    </w:p>
    <w:p>
      <w:pPr>
        <w:pStyle w:val="4"/>
        <w:pageBreakBefore w:val="0"/>
        <w:numPr>
          <w:ilvl w:val="0"/>
          <w:numId w:val="7"/>
        </w:numPr>
        <w:kinsoku/>
        <w:wordWrap/>
        <w:overflowPunct/>
        <w:topLinePunct w:val="0"/>
        <w:autoSpaceDE/>
        <w:autoSpaceDN/>
        <w:bidi w:val="0"/>
        <w:adjustRightInd/>
        <w:snapToGrid/>
        <w:spacing w:before="156" w:after="156" w:line="560" w:lineRule="exact"/>
        <w:textAlignment w:val="auto"/>
        <w:rPr>
          <w:rFonts w:hint="default" w:ascii="Times New Roman" w:hAnsi="Times New Roman" w:cs="Times New Roman"/>
          <w:color w:val="auto"/>
          <w:sz w:val="30"/>
          <w:szCs w:val="30"/>
        </w:rPr>
      </w:pPr>
      <w:r>
        <w:rPr>
          <w:rFonts w:hint="default" w:ascii="Times New Roman" w:hAnsi="Times New Roman" w:cs="Times New Roman"/>
          <w:color w:val="auto"/>
          <w:sz w:val="30"/>
          <w:szCs w:val="30"/>
        </w:rPr>
        <w:t>积极稳妥推进碳达峰碳中和</w:t>
      </w:r>
    </w:p>
    <w:p>
      <w:pPr>
        <w:pageBreakBefore w:val="0"/>
        <w:kinsoku/>
        <w:wordWrap/>
        <w:overflowPunct/>
        <w:topLinePunct w:val="0"/>
        <w:autoSpaceDE/>
        <w:autoSpaceDN/>
        <w:bidi w:val="0"/>
        <w:adjustRightInd/>
        <w:snapToGrid/>
        <w:spacing w:line="560" w:lineRule="exact"/>
        <w:ind w:firstLine="602"/>
        <w:textAlignment w:val="auto"/>
        <w:rPr>
          <w:rFonts w:hint="default" w:ascii="Times New Roman" w:hAnsi="Times New Roman" w:eastAsia="仿宋_GB2312" w:cs="Times New Roman"/>
          <w:b w:val="0"/>
          <w:bCs w:val="0"/>
          <w:color w:val="auto"/>
          <w:sz w:val="30"/>
          <w:szCs w:val="30"/>
          <w:lang w:eastAsia="zh-CN" w:bidi="ar"/>
        </w:rPr>
      </w:pPr>
      <w:r>
        <w:rPr>
          <w:rFonts w:hint="default" w:ascii="Times New Roman" w:hAnsi="Times New Roman" w:cs="Times New Roman"/>
          <w:b w:val="0"/>
          <w:bCs w:val="0"/>
          <w:color w:val="auto"/>
          <w:sz w:val="30"/>
          <w:szCs w:val="30"/>
        </w:rPr>
        <w:t>推进碳达峰制度体系建设。推动能耗“双控”向碳排放“双控”转变，探索碳评价管理，每年编制区级温室气体排放清单，加强甲烷等非二氧化碳温室气体管控，定期发布碳达峰重点任务，支持企业建立碳排放核算制度。</w:t>
      </w:r>
      <w:bookmarkStart w:id="1" w:name="_GoBack"/>
      <w:bookmarkEnd w:id="1"/>
    </w:p>
    <w:p>
      <w:pPr>
        <w:pStyle w:val="4"/>
        <w:pageBreakBefore w:val="0"/>
        <w:numPr>
          <w:ilvl w:val="0"/>
          <w:numId w:val="7"/>
        </w:numPr>
        <w:kinsoku/>
        <w:wordWrap/>
        <w:overflowPunct/>
        <w:topLinePunct w:val="0"/>
        <w:autoSpaceDE/>
        <w:autoSpaceDN/>
        <w:bidi w:val="0"/>
        <w:adjustRightInd/>
        <w:snapToGrid/>
        <w:spacing w:before="156" w:after="156" w:line="560" w:lineRule="exact"/>
        <w:textAlignment w:val="auto"/>
        <w:rPr>
          <w:rFonts w:hint="default" w:ascii="Times New Roman" w:hAnsi="Times New Roman" w:cs="Times New Roman"/>
          <w:color w:val="auto"/>
          <w:sz w:val="30"/>
          <w:szCs w:val="30"/>
        </w:rPr>
      </w:pPr>
      <w:r>
        <w:rPr>
          <w:rFonts w:hint="default" w:ascii="Times New Roman" w:hAnsi="Times New Roman" w:cs="Times New Roman"/>
          <w:color w:val="auto"/>
          <w:sz w:val="30"/>
          <w:szCs w:val="30"/>
        </w:rPr>
        <w:t>加快推进产业绿色低碳发展</w:t>
      </w:r>
    </w:p>
    <w:p>
      <w:pPr>
        <w:pageBreakBefore w:val="0"/>
        <w:kinsoku/>
        <w:wordWrap/>
        <w:overflowPunct/>
        <w:topLinePunct w:val="0"/>
        <w:autoSpaceDE/>
        <w:autoSpaceDN/>
        <w:bidi w:val="0"/>
        <w:adjustRightInd/>
        <w:snapToGrid/>
        <w:spacing w:line="560" w:lineRule="exact"/>
        <w:ind w:firstLine="602"/>
        <w:textAlignment w:val="auto"/>
        <w:rPr>
          <w:rFonts w:hint="default" w:ascii="Times New Roman" w:hAnsi="Times New Roman" w:cs="Times New Roman"/>
          <w:b w:val="0"/>
          <w:bCs w:val="0"/>
          <w:color w:val="auto"/>
          <w:sz w:val="30"/>
          <w:szCs w:val="30"/>
          <w:lang w:bidi="ar"/>
        </w:rPr>
      </w:pPr>
      <w:r>
        <w:rPr>
          <w:rFonts w:hint="default" w:ascii="Times New Roman" w:hAnsi="Times New Roman" w:cs="Times New Roman"/>
          <w:b w:val="0"/>
          <w:bCs w:val="0"/>
          <w:color w:val="auto"/>
          <w:sz w:val="30"/>
          <w:szCs w:val="30"/>
          <w:lang w:bidi="ar"/>
        </w:rPr>
        <w:t>持续优化产业结构，实现医药、化工等重点行业规上企业清洁生产全覆盖，推动企业“智改数转”，打造绿色工厂、绿色园区、零碳示范园区。到2030年，创建10家绿色制造示范单位，土地产出强度达市级平均水平。构建“4+N”现代产业体系，做大东方美谷、绿色新能源等产业集群，力争战略性新兴产业规上产值占比达45%。发展循环农业，推进秸秆、粪污、农膜废弃物资源化利用，打造绿色生态循环农业示范场景。</w:t>
      </w:r>
    </w:p>
    <w:p>
      <w:pPr>
        <w:pStyle w:val="4"/>
        <w:pageBreakBefore w:val="0"/>
        <w:numPr>
          <w:ilvl w:val="0"/>
          <w:numId w:val="7"/>
        </w:numPr>
        <w:kinsoku/>
        <w:wordWrap/>
        <w:overflowPunct/>
        <w:topLinePunct w:val="0"/>
        <w:autoSpaceDE/>
        <w:autoSpaceDN/>
        <w:bidi w:val="0"/>
        <w:adjustRightInd/>
        <w:snapToGrid/>
        <w:spacing w:before="156" w:after="156" w:line="560" w:lineRule="exact"/>
        <w:textAlignment w:val="auto"/>
        <w:rPr>
          <w:rFonts w:hint="default" w:ascii="Times New Roman" w:hAnsi="Times New Roman" w:cs="Times New Roman"/>
          <w:color w:val="auto"/>
          <w:sz w:val="30"/>
          <w:szCs w:val="30"/>
        </w:rPr>
      </w:pPr>
      <w:r>
        <w:rPr>
          <w:rFonts w:hint="default" w:ascii="Times New Roman" w:hAnsi="Times New Roman" w:cs="Times New Roman"/>
          <w:color w:val="auto"/>
          <w:sz w:val="30"/>
          <w:szCs w:val="30"/>
        </w:rPr>
        <w:t>持续推进重点领域绿色低碳体系</w:t>
      </w:r>
    </w:p>
    <w:p>
      <w:pPr>
        <w:pageBreakBefore w:val="0"/>
        <w:widowControl/>
        <w:kinsoku/>
        <w:wordWrap/>
        <w:overflowPunct/>
        <w:topLinePunct w:val="0"/>
        <w:autoSpaceDE/>
        <w:autoSpaceDN/>
        <w:bidi w:val="0"/>
        <w:adjustRightInd/>
        <w:snapToGrid/>
        <w:spacing w:line="560" w:lineRule="exact"/>
        <w:ind w:firstLine="602"/>
        <w:jc w:val="left"/>
        <w:textAlignment w:val="auto"/>
        <w:rPr>
          <w:rFonts w:hint="default" w:ascii="Times New Roman" w:hAnsi="Times New Roman" w:cs="Times New Roman"/>
          <w:b w:val="0"/>
          <w:bCs w:val="0"/>
          <w:color w:val="auto"/>
          <w:sz w:val="30"/>
          <w:szCs w:val="30"/>
          <w:lang w:eastAsia="zh-CN"/>
        </w:rPr>
      </w:pPr>
      <w:r>
        <w:rPr>
          <w:rFonts w:hint="default" w:ascii="Times New Roman" w:hAnsi="Times New Roman" w:cs="Times New Roman"/>
          <w:b w:val="0"/>
          <w:bCs w:val="0"/>
          <w:color w:val="auto"/>
          <w:sz w:val="30"/>
          <w:szCs w:val="30"/>
        </w:rPr>
        <w:t>持续推进能源结构调整</w:t>
      </w:r>
      <w:r>
        <w:rPr>
          <w:rFonts w:hint="default" w:ascii="Times New Roman" w:hAnsi="Times New Roman" w:cs="Times New Roman"/>
          <w:b w:val="0"/>
          <w:bCs w:val="0"/>
          <w:color w:val="auto"/>
          <w:sz w:val="30"/>
          <w:szCs w:val="30"/>
          <w:lang w:eastAsia="zh-CN"/>
        </w:rPr>
        <w:t>。严</w:t>
      </w:r>
      <w:r>
        <w:rPr>
          <w:rFonts w:hint="eastAsia" w:ascii="Times New Roman" w:hAnsi="Times New Roman" w:cs="Times New Roman"/>
          <w:b w:val="0"/>
          <w:bCs w:val="0"/>
          <w:color w:val="auto"/>
          <w:sz w:val="30"/>
          <w:szCs w:val="30"/>
          <w:lang w:eastAsia="zh-CN"/>
        </w:rPr>
        <w:t>格控制</w:t>
      </w:r>
      <w:r>
        <w:rPr>
          <w:rFonts w:hint="default" w:ascii="Times New Roman" w:hAnsi="Times New Roman" w:cs="Times New Roman"/>
          <w:b w:val="0"/>
          <w:bCs w:val="0"/>
          <w:color w:val="auto"/>
          <w:sz w:val="30"/>
          <w:szCs w:val="30"/>
          <w:lang w:eastAsia="zh-CN"/>
        </w:rPr>
        <w:t>煤炭消费，推进海上风电、“光伏+”工程，2030年实现分布式光伏应装尽装，在重点园区示范 “光储直柔”、近零能耗建筑，发展农光、渔光互补项目。全面实施节能降碳增效。强化重点用能单位精细化管理，推动发电企业余热利用，建立能源管理中心</w:t>
      </w:r>
      <w:r>
        <w:rPr>
          <w:rFonts w:hint="eastAsia" w:ascii="Times New Roman" w:hAnsi="Times New Roman" w:cs="Times New Roman"/>
          <w:b w:val="0"/>
          <w:bCs w:val="0"/>
          <w:color w:val="auto"/>
          <w:sz w:val="30"/>
          <w:szCs w:val="30"/>
          <w:lang w:eastAsia="zh-CN"/>
        </w:rPr>
        <w:t>，</w:t>
      </w:r>
      <w:r>
        <w:rPr>
          <w:rFonts w:hint="default" w:ascii="Times New Roman" w:hAnsi="Times New Roman" w:cs="Times New Roman"/>
          <w:b w:val="0"/>
          <w:bCs w:val="0"/>
          <w:color w:val="auto"/>
          <w:sz w:val="30"/>
          <w:szCs w:val="30"/>
          <w:lang w:eastAsia="zh-CN"/>
        </w:rPr>
        <w:t>严格项目节能与碳排放审查。构建绿色低碳交通体系。构建绿色公交网络，公共领域新增车辆全部使用新能源，推进充电桩、加氢站建设，发展绿色港口。推进超低能耗和低碳建筑规模化发展。新建民用建筑全面执行超低能耗标准，推动既有建筑节能改造，建成建筑能源碳排放智慧监管系统。</w:t>
      </w:r>
    </w:p>
    <w:p>
      <w:pPr>
        <w:pStyle w:val="4"/>
        <w:pageBreakBefore w:val="0"/>
        <w:numPr>
          <w:ilvl w:val="0"/>
          <w:numId w:val="7"/>
        </w:numPr>
        <w:kinsoku/>
        <w:wordWrap/>
        <w:overflowPunct/>
        <w:topLinePunct w:val="0"/>
        <w:autoSpaceDE/>
        <w:autoSpaceDN/>
        <w:bidi w:val="0"/>
        <w:adjustRightInd/>
        <w:snapToGrid/>
        <w:spacing w:before="156" w:after="156" w:line="560" w:lineRule="exact"/>
        <w:textAlignment w:val="auto"/>
        <w:rPr>
          <w:rFonts w:hint="default" w:ascii="Times New Roman" w:hAnsi="Times New Roman" w:cs="Times New Roman"/>
          <w:color w:val="auto"/>
          <w:sz w:val="30"/>
          <w:szCs w:val="30"/>
        </w:rPr>
      </w:pPr>
      <w:r>
        <w:rPr>
          <w:rFonts w:hint="default" w:ascii="Times New Roman" w:hAnsi="Times New Roman" w:cs="Times New Roman"/>
          <w:color w:val="auto"/>
          <w:sz w:val="30"/>
          <w:szCs w:val="30"/>
          <w:lang w:val="en-US" w:eastAsia="zh-CN"/>
        </w:rPr>
        <w:t>全面倡导</w:t>
      </w:r>
      <w:r>
        <w:rPr>
          <w:rFonts w:hint="default" w:ascii="Times New Roman" w:hAnsi="Times New Roman" w:cs="Times New Roman"/>
          <w:color w:val="auto"/>
          <w:sz w:val="30"/>
          <w:szCs w:val="30"/>
        </w:rPr>
        <w:t>绿色低碳生产生活</w:t>
      </w:r>
    </w:p>
    <w:p>
      <w:pPr>
        <w:pageBreakBefore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仿宋_GB2312" w:cs="Times New Roman"/>
          <w:color w:val="auto"/>
          <w:sz w:val="30"/>
          <w:szCs w:val="30"/>
          <w:lang w:eastAsia="zh-CN" w:bidi="ar"/>
        </w:rPr>
      </w:pPr>
      <w:r>
        <w:rPr>
          <w:rFonts w:hint="default" w:ascii="Times New Roman" w:hAnsi="Times New Roman" w:cs="Times New Roman"/>
          <w:color w:val="auto"/>
          <w:sz w:val="30"/>
          <w:szCs w:val="30"/>
        </w:rPr>
        <w:t>依托全国生态日、低碳日</w:t>
      </w:r>
      <w:r>
        <w:rPr>
          <w:rFonts w:hint="eastAsia" w:ascii="Times New Roman" w:hAnsi="Times New Roman" w:cs="Times New Roman"/>
          <w:color w:val="auto"/>
          <w:sz w:val="30"/>
          <w:szCs w:val="30"/>
          <w:lang w:eastAsia="zh-CN"/>
        </w:rPr>
        <w:t>、六五环境日</w:t>
      </w:r>
      <w:r>
        <w:rPr>
          <w:rFonts w:hint="default" w:ascii="Times New Roman" w:hAnsi="Times New Roman" w:cs="Times New Roman"/>
          <w:color w:val="auto"/>
          <w:sz w:val="30"/>
          <w:szCs w:val="30"/>
        </w:rPr>
        <w:t>等节点普及绿色政策，引导公众践行简约低碳生活。深化垃圾分类、塑料污染治理，推广绿色消费与碳普惠机制，扩大环境教育基地覆盖，健全公众参与监督机制，深化</w:t>
      </w:r>
      <w:r>
        <w:rPr>
          <w:rFonts w:hint="eastAsia" w:ascii="Times New Roman" w:hAnsi="Times New Roman" w:cs="Times New Roman"/>
          <w:color w:val="auto"/>
          <w:sz w:val="30"/>
          <w:szCs w:val="30"/>
          <w:lang w:eastAsia="zh-CN"/>
        </w:rPr>
        <w:t>国家生态文明建设示范区创建成果，持续推进</w:t>
      </w:r>
      <w:r>
        <w:rPr>
          <w:rFonts w:hint="default" w:ascii="Times New Roman" w:hAnsi="Times New Roman" w:cs="Times New Roman"/>
          <w:color w:val="auto"/>
          <w:sz w:val="30"/>
          <w:szCs w:val="30"/>
        </w:rPr>
        <w:t>“两山”实践创新基地创建。</w:t>
      </w:r>
    </w:p>
    <w:p>
      <w:pPr>
        <w:pStyle w:val="3"/>
        <w:pageBreakBefore w:val="0"/>
        <w:numPr>
          <w:ilvl w:val="0"/>
          <w:numId w:val="6"/>
        </w:numPr>
        <w:kinsoku/>
        <w:wordWrap/>
        <w:overflowPunct/>
        <w:topLinePunct w:val="0"/>
        <w:autoSpaceDE/>
        <w:autoSpaceDN/>
        <w:bidi w:val="0"/>
        <w:adjustRightInd/>
        <w:snapToGrid/>
        <w:spacing w:before="156" w:after="156" w:line="560" w:lineRule="exact"/>
        <w:textAlignment w:val="auto"/>
        <w:rPr>
          <w:rFonts w:hint="default" w:ascii="Times New Roman" w:hAnsi="Times New Roman" w:eastAsia="宋体" w:cs="Times New Roman"/>
          <w:color w:val="auto"/>
          <w:sz w:val="30"/>
          <w:szCs w:val="30"/>
        </w:rPr>
      </w:pPr>
      <w:r>
        <w:rPr>
          <w:rFonts w:hint="default" w:ascii="Times New Roman" w:hAnsi="Times New Roman" w:eastAsia="宋体" w:cs="Times New Roman"/>
          <w:color w:val="auto"/>
          <w:sz w:val="30"/>
          <w:szCs w:val="30"/>
        </w:rPr>
        <w:t>打好污染防治攻坚战，提升</w:t>
      </w:r>
      <w:r>
        <w:rPr>
          <w:rFonts w:hint="default" w:ascii="Times New Roman" w:hAnsi="Times New Roman" w:cs="Times New Roman"/>
          <w:color w:val="auto"/>
          <w:sz w:val="30"/>
          <w:szCs w:val="30"/>
          <w:highlight w:val="none"/>
          <w:lang w:eastAsia="zh-CN"/>
        </w:rPr>
        <w:t>区域</w:t>
      </w:r>
      <w:r>
        <w:rPr>
          <w:rFonts w:hint="default" w:ascii="Times New Roman" w:hAnsi="Times New Roman" w:eastAsia="宋体" w:cs="Times New Roman"/>
          <w:color w:val="auto"/>
          <w:sz w:val="30"/>
          <w:szCs w:val="30"/>
        </w:rPr>
        <w:t>生态环境质量</w:t>
      </w:r>
    </w:p>
    <w:p>
      <w:pPr>
        <w:pStyle w:val="4"/>
        <w:pageBreakBefore w:val="0"/>
        <w:numPr>
          <w:ilvl w:val="0"/>
          <w:numId w:val="8"/>
        </w:numPr>
        <w:kinsoku/>
        <w:wordWrap/>
        <w:overflowPunct/>
        <w:topLinePunct w:val="0"/>
        <w:autoSpaceDE/>
        <w:autoSpaceDN/>
        <w:bidi w:val="0"/>
        <w:adjustRightInd/>
        <w:snapToGrid/>
        <w:spacing w:before="156" w:after="156" w:line="560" w:lineRule="exact"/>
        <w:textAlignment w:val="auto"/>
        <w:rPr>
          <w:rFonts w:hint="default" w:ascii="Times New Roman" w:hAnsi="Times New Roman" w:cs="Times New Roman"/>
          <w:color w:val="auto"/>
          <w:sz w:val="30"/>
          <w:szCs w:val="30"/>
        </w:rPr>
      </w:pPr>
      <w:r>
        <w:rPr>
          <w:rFonts w:hint="default" w:ascii="Times New Roman" w:hAnsi="Times New Roman" w:cs="Times New Roman"/>
          <w:color w:val="auto"/>
          <w:sz w:val="30"/>
          <w:szCs w:val="30"/>
        </w:rPr>
        <w:t>持续深入打好蓝天保卫战</w:t>
      </w:r>
    </w:p>
    <w:p>
      <w:pPr>
        <w:pageBreakBefore w:val="0"/>
        <w:kinsoku/>
        <w:wordWrap/>
        <w:overflowPunct/>
        <w:topLinePunct w:val="0"/>
        <w:autoSpaceDE/>
        <w:autoSpaceDN/>
        <w:bidi w:val="0"/>
        <w:adjustRightInd/>
        <w:snapToGrid/>
        <w:spacing w:line="560" w:lineRule="exact"/>
        <w:ind w:firstLine="602"/>
        <w:textAlignment w:val="auto"/>
        <w:rPr>
          <w:rFonts w:hint="default" w:ascii="Times New Roman" w:hAnsi="Times New Roman" w:eastAsia="仿宋_GB2312" w:cs="Times New Roman"/>
          <w:b w:val="0"/>
          <w:bCs w:val="0"/>
          <w:color w:val="auto"/>
          <w:sz w:val="30"/>
          <w:szCs w:val="30"/>
          <w:lang w:eastAsia="zh-CN"/>
        </w:rPr>
      </w:pPr>
      <w:r>
        <w:rPr>
          <w:rFonts w:hint="default" w:ascii="Times New Roman" w:hAnsi="Times New Roman" w:cs="Times New Roman"/>
          <w:b w:val="0"/>
          <w:bCs w:val="0"/>
          <w:color w:val="auto"/>
          <w:sz w:val="30"/>
          <w:szCs w:val="30"/>
          <w:highlight w:val="none"/>
        </w:rPr>
        <w:t>推进锅炉、窑炉清洁化改造，深化VOCs全过程治理与源头替代，实施“一厂一策”专项行动，完善大气污染防治绩效分级。强化机动车、非道路移动机械、船舶污染管控，实现码头岸电设施全覆盖。提升工地、渣土运输扬尘管控水平，精细化治理餐饮油烟、恶臭异味，实施噪声污染防治专项行动。</w:t>
      </w:r>
    </w:p>
    <w:p>
      <w:pPr>
        <w:pStyle w:val="4"/>
        <w:pageBreakBefore w:val="0"/>
        <w:numPr>
          <w:ilvl w:val="0"/>
          <w:numId w:val="8"/>
        </w:numPr>
        <w:kinsoku/>
        <w:wordWrap/>
        <w:overflowPunct/>
        <w:topLinePunct w:val="0"/>
        <w:autoSpaceDE/>
        <w:autoSpaceDN/>
        <w:bidi w:val="0"/>
        <w:adjustRightInd/>
        <w:snapToGrid/>
        <w:spacing w:before="156" w:after="156" w:line="560" w:lineRule="exact"/>
        <w:textAlignment w:val="auto"/>
        <w:rPr>
          <w:rFonts w:hint="default" w:ascii="Times New Roman" w:hAnsi="Times New Roman" w:cs="Times New Roman"/>
          <w:color w:val="auto"/>
          <w:sz w:val="30"/>
          <w:szCs w:val="30"/>
        </w:rPr>
      </w:pPr>
      <w:r>
        <w:rPr>
          <w:rFonts w:hint="default" w:ascii="Times New Roman" w:hAnsi="Times New Roman" w:cs="Times New Roman"/>
          <w:color w:val="auto"/>
          <w:sz w:val="30"/>
          <w:szCs w:val="30"/>
        </w:rPr>
        <w:t>持续深入打好碧水保卫战</w:t>
      </w:r>
    </w:p>
    <w:p>
      <w:pPr>
        <w:pageBreakBefore w:val="0"/>
        <w:kinsoku/>
        <w:wordWrap/>
        <w:overflowPunct/>
        <w:topLinePunct w:val="0"/>
        <w:autoSpaceDE/>
        <w:autoSpaceDN/>
        <w:bidi w:val="0"/>
        <w:adjustRightInd/>
        <w:snapToGrid/>
        <w:spacing w:line="560" w:lineRule="exact"/>
        <w:ind w:firstLine="602"/>
        <w:textAlignment w:val="auto"/>
        <w:rPr>
          <w:rFonts w:hint="default" w:ascii="Times New Roman" w:hAnsi="Times New Roman" w:eastAsia="仿宋_GB2312" w:cs="Times New Roman"/>
          <w:b w:val="0"/>
          <w:bCs w:val="0"/>
          <w:color w:val="auto"/>
          <w:sz w:val="30"/>
          <w:szCs w:val="30"/>
          <w:lang w:eastAsia="zh-CN"/>
        </w:rPr>
      </w:pPr>
      <w:r>
        <w:rPr>
          <w:rFonts w:hint="default" w:ascii="Times New Roman" w:hAnsi="Times New Roman" w:cs="Times New Roman"/>
          <w:b w:val="0"/>
          <w:bCs w:val="0"/>
          <w:color w:val="auto"/>
          <w:sz w:val="30"/>
          <w:szCs w:val="30"/>
          <w:highlight w:val="none"/>
          <w:lang w:val="en-US" w:eastAsia="zh-CN"/>
        </w:rPr>
        <w:t>强化饮用水水源地保护，推进节水型社会建设。建设污水处理低碳标杆厂，整治雨污混接，实现入河入海排污口“一口一</w:t>
      </w:r>
      <w:r>
        <w:rPr>
          <w:rFonts w:hint="eastAsia" w:ascii="Times New Roman" w:hAnsi="Times New Roman" w:cs="Times New Roman"/>
          <w:b w:val="0"/>
          <w:bCs w:val="0"/>
          <w:color w:val="auto"/>
          <w:sz w:val="30"/>
          <w:szCs w:val="30"/>
          <w:highlight w:val="none"/>
          <w:lang w:val="en-US" w:eastAsia="zh-CN"/>
        </w:rPr>
        <w:t>策</w:t>
      </w:r>
      <w:r>
        <w:rPr>
          <w:rFonts w:hint="default" w:ascii="Times New Roman" w:hAnsi="Times New Roman" w:cs="Times New Roman"/>
          <w:b w:val="0"/>
          <w:bCs w:val="0"/>
          <w:color w:val="auto"/>
          <w:sz w:val="30"/>
          <w:szCs w:val="30"/>
          <w:highlight w:val="none"/>
          <w:lang w:val="en-US" w:eastAsia="zh-CN"/>
        </w:rPr>
        <w:t>”分类整治。加强工业污水达标监管，实施总氮污染控制。推进美丽河湖建设，</w:t>
      </w:r>
      <w:r>
        <w:rPr>
          <w:rFonts w:hint="default" w:ascii="Times New Roman" w:hAnsi="Times New Roman" w:cs="Times New Roman"/>
          <w:b w:val="0"/>
          <w:bCs w:val="0"/>
          <w:color w:val="auto"/>
          <w:sz w:val="30"/>
          <w:szCs w:val="30"/>
          <w:highlight w:val="none"/>
        </w:rPr>
        <w:t>到2030年，完成</w:t>
      </w:r>
      <w:r>
        <w:rPr>
          <w:rFonts w:hint="default" w:ascii="Times New Roman" w:hAnsi="Times New Roman" w:cs="Times New Roman"/>
          <w:b w:val="0"/>
          <w:bCs w:val="0"/>
          <w:color w:val="auto"/>
          <w:sz w:val="30"/>
          <w:szCs w:val="30"/>
          <w:highlight w:val="none"/>
          <w:lang w:val="en-US" w:eastAsia="zh-CN"/>
        </w:rPr>
        <w:t>5</w:t>
      </w:r>
      <w:r>
        <w:rPr>
          <w:rFonts w:hint="default" w:ascii="Times New Roman" w:hAnsi="Times New Roman" w:cs="Times New Roman"/>
          <w:b w:val="0"/>
          <w:bCs w:val="0"/>
          <w:color w:val="auto"/>
          <w:sz w:val="30"/>
          <w:szCs w:val="30"/>
          <w:highlight w:val="none"/>
        </w:rPr>
        <w:t>个生态清洁小流域示范点、</w:t>
      </w:r>
      <w:r>
        <w:rPr>
          <w:rFonts w:hint="default" w:ascii="Times New Roman" w:hAnsi="Times New Roman" w:cs="Times New Roman"/>
          <w:b w:val="0"/>
          <w:bCs w:val="0"/>
          <w:color w:val="auto"/>
          <w:sz w:val="30"/>
          <w:szCs w:val="30"/>
          <w:highlight w:val="none"/>
          <w:lang w:val="en-US"/>
        </w:rPr>
        <w:t>4</w:t>
      </w:r>
      <w:r>
        <w:rPr>
          <w:rFonts w:hint="default" w:ascii="Times New Roman" w:hAnsi="Times New Roman" w:cs="Times New Roman"/>
          <w:b w:val="0"/>
          <w:bCs w:val="0"/>
          <w:color w:val="auto"/>
          <w:sz w:val="30"/>
          <w:szCs w:val="30"/>
          <w:highlight w:val="none"/>
        </w:rPr>
        <w:t>个水美村庄、</w:t>
      </w:r>
      <w:r>
        <w:rPr>
          <w:rFonts w:hint="default" w:ascii="Times New Roman" w:hAnsi="Times New Roman" w:cs="Times New Roman"/>
          <w:b w:val="0"/>
          <w:bCs w:val="0"/>
          <w:color w:val="auto"/>
          <w:sz w:val="30"/>
          <w:szCs w:val="30"/>
          <w:highlight w:val="none"/>
          <w:lang w:val="en-US"/>
        </w:rPr>
        <w:t>1</w:t>
      </w:r>
      <w:r>
        <w:rPr>
          <w:rFonts w:hint="default" w:ascii="Times New Roman" w:hAnsi="Times New Roman" w:cs="Times New Roman"/>
          <w:b w:val="0"/>
          <w:bCs w:val="0"/>
          <w:color w:val="auto"/>
          <w:sz w:val="30"/>
          <w:szCs w:val="30"/>
          <w:highlight w:val="none"/>
        </w:rPr>
        <w:t>个水美社区、</w:t>
      </w:r>
      <w:r>
        <w:rPr>
          <w:rFonts w:hint="default" w:ascii="Times New Roman" w:hAnsi="Times New Roman" w:cs="Times New Roman"/>
          <w:b w:val="0"/>
          <w:bCs w:val="0"/>
          <w:color w:val="auto"/>
          <w:sz w:val="30"/>
          <w:szCs w:val="30"/>
          <w:highlight w:val="none"/>
          <w:lang w:val="en-US"/>
        </w:rPr>
        <w:t>1</w:t>
      </w:r>
      <w:r>
        <w:rPr>
          <w:rFonts w:hint="default" w:ascii="Times New Roman" w:hAnsi="Times New Roman" w:cs="Times New Roman"/>
          <w:b w:val="0"/>
          <w:bCs w:val="0"/>
          <w:color w:val="auto"/>
          <w:sz w:val="30"/>
          <w:szCs w:val="30"/>
          <w:highlight w:val="none"/>
        </w:rPr>
        <w:t>个水美校园试点建设，</w:t>
      </w:r>
      <w:r>
        <w:rPr>
          <w:rFonts w:hint="default" w:ascii="Times New Roman" w:hAnsi="Times New Roman" w:cs="Times New Roman"/>
          <w:b w:val="0"/>
          <w:bCs w:val="0"/>
          <w:color w:val="auto"/>
          <w:sz w:val="30"/>
          <w:szCs w:val="30"/>
          <w:highlight w:val="none"/>
          <w:lang w:val="en-US"/>
        </w:rPr>
        <w:t>上海之鱼湖</w:t>
      </w:r>
      <w:r>
        <w:rPr>
          <w:rFonts w:hint="default" w:ascii="Times New Roman" w:hAnsi="Times New Roman" w:cs="Times New Roman"/>
          <w:b w:val="0"/>
          <w:bCs w:val="0"/>
          <w:color w:val="auto"/>
          <w:sz w:val="30"/>
          <w:szCs w:val="30"/>
          <w:highlight w:val="none"/>
        </w:rPr>
        <w:t>等</w:t>
      </w:r>
      <w:r>
        <w:rPr>
          <w:rFonts w:hint="default" w:ascii="Times New Roman" w:hAnsi="Times New Roman" w:cs="Times New Roman"/>
          <w:b w:val="0"/>
          <w:bCs w:val="0"/>
          <w:color w:val="auto"/>
          <w:sz w:val="30"/>
          <w:szCs w:val="30"/>
          <w:highlight w:val="none"/>
          <w:lang w:val="en-US"/>
        </w:rPr>
        <w:t>46</w:t>
      </w:r>
      <w:r>
        <w:rPr>
          <w:rFonts w:hint="default" w:ascii="Times New Roman" w:hAnsi="Times New Roman" w:cs="Times New Roman"/>
          <w:b w:val="0"/>
          <w:bCs w:val="0"/>
          <w:color w:val="auto"/>
          <w:sz w:val="30"/>
          <w:szCs w:val="30"/>
          <w:highlight w:val="none"/>
        </w:rPr>
        <w:t>条河道建</w:t>
      </w:r>
      <w:r>
        <w:rPr>
          <w:rFonts w:hint="default" w:ascii="Times New Roman" w:hAnsi="Times New Roman" w:cs="Times New Roman"/>
          <w:b w:val="0"/>
          <w:bCs w:val="0"/>
          <w:color w:val="auto"/>
          <w:sz w:val="30"/>
          <w:szCs w:val="30"/>
        </w:rPr>
        <w:t>成美丽幸福河湖</w:t>
      </w:r>
      <w:r>
        <w:rPr>
          <w:rFonts w:hint="default" w:ascii="Times New Roman" w:hAnsi="Times New Roman" w:cs="Times New Roman"/>
          <w:b w:val="0"/>
          <w:bCs w:val="0"/>
          <w:color w:val="auto"/>
          <w:sz w:val="30"/>
          <w:szCs w:val="30"/>
          <w:lang w:eastAsia="zh-CN"/>
        </w:rPr>
        <w:t>，</w:t>
      </w:r>
      <w:r>
        <w:rPr>
          <w:rFonts w:hint="default" w:ascii="Times New Roman" w:hAnsi="Times New Roman" w:cs="Times New Roman"/>
          <w:b w:val="0"/>
          <w:bCs w:val="0"/>
          <w:color w:val="auto"/>
          <w:sz w:val="30"/>
          <w:szCs w:val="30"/>
          <w:lang w:val="en-US" w:eastAsia="zh-CN"/>
        </w:rPr>
        <w:t>区管及以上美丽幸福河湖建成率达到60%以上</w:t>
      </w:r>
      <w:r>
        <w:rPr>
          <w:rFonts w:hint="default" w:ascii="Times New Roman" w:hAnsi="Times New Roman" w:cs="Times New Roman"/>
          <w:b w:val="0"/>
          <w:bCs w:val="0"/>
          <w:color w:val="auto"/>
          <w:sz w:val="30"/>
          <w:szCs w:val="30"/>
        </w:rPr>
        <w:t>。</w:t>
      </w:r>
    </w:p>
    <w:p>
      <w:pPr>
        <w:pStyle w:val="4"/>
        <w:pageBreakBefore w:val="0"/>
        <w:numPr>
          <w:ilvl w:val="0"/>
          <w:numId w:val="8"/>
        </w:numPr>
        <w:kinsoku/>
        <w:wordWrap/>
        <w:overflowPunct/>
        <w:topLinePunct w:val="0"/>
        <w:autoSpaceDE/>
        <w:autoSpaceDN/>
        <w:bidi w:val="0"/>
        <w:adjustRightInd/>
        <w:snapToGrid/>
        <w:spacing w:before="156" w:after="156" w:line="560" w:lineRule="exact"/>
        <w:textAlignment w:val="auto"/>
        <w:rPr>
          <w:rFonts w:hint="default" w:ascii="Times New Roman" w:hAnsi="Times New Roman" w:cs="Times New Roman"/>
          <w:color w:val="auto"/>
          <w:sz w:val="30"/>
          <w:szCs w:val="30"/>
        </w:rPr>
      </w:pPr>
      <w:r>
        <w:rPr>
          <w:rFonts w:hint="default" w:ascii="Times New Roman" w:hAnsi="Times New Roman" w:cs="Times New Roman"/>
          <w:color w:val="auto"/>
          <w:sz w:val="30"/>
          <w:szCs w:val="30"/>
        </w:rPr>
        <w:t>持续推进近岸海域污染防治</w:t>
      </w:r>
    </w:p>
    <w:p>
      <w:pPr>
        <w:pageBreakBefore w:val="0"/>
        <w:kinsoku/>
        <w:wordWrap/>
        <w:overflowPunct/>
        <w:topLinePunct w:val="0"/>
        <w:autoSpaceDE/>
        <w:autoSpaceDN/>
        <w:bidi w:val="0"/>
        <w:adjustRightInd/>
        <w:snapToGrid/>
        <w:spacing w:line="560" w:lineRule="exact"/>
        <w:ind w:firstLine="602"/>
        <w:textAlignment w:val="auto"/>
        <w:rPr>
          <w:rFonts w:hint="default" w:ascii="Times New Roman" w:hAnsi="Times New Roman" w:eastAsia="仿宋_GB2312" w:cs="Times New Roman"/>
          <w:b w:val="0"/>
          <w:bCs w:val="0"/>
          <w:color w:val="auto"/>
          <w:sz w:val="30"/>
          <w:szCs w:val="30"/>
          <w:lang w:eastAsia="zh-CN"/>
        </w:rPr>
      </w:pPr>
      <w:r>
        <w:rPr>
          <w:rFonts w:hint="default" w:ascii="Times New Roman" w:hAnsi="Times New Roman" w:cs="Times New Roman"/>
          <w:b w:val="0"/>
          <w:bCs w:val="0"/>
          <w:color w:val="auto"/>
          <w:sz w:val="30"/>
          <w:szCs w:val="30"/>
        </w:rPr>
        <w:t>以金汇港为重点实施总氮 “一河一策”治理，严控入海污染物排放，2030年国控入海河流断面总氮浓度优于“十四五”均值。开展海洋垃圾清理与“蓝色循环”试点，实施滨海湿地修复，2027年建成杭州湾奉贤段美丽海湾，拓展优质亲海空间。</w:t>
      </w:r>
    </w:p>
    <w:p>
      <w:pPr>
        <w:pStyle w:val="4"/>
        <w:pageBreakBefore w:val="0"/>
        <w:numPr>
          <w:ilvl w:val="0"/>
          <w:numId w:val="8"/>
        </w:numPr>
        <w:kinsoku/>
        <w:wordWrap/>
        <w:overflowPunct/>
        <w:topLinePunct w:val="0"/>
        <w:autoSpaceDE/>
        <w:autoSpaceDN/>
        <w:bidi w:val="0"/>
        <w:adjustRightInd/>
        <w:snapToGrid/>
        <w:spacing w:before="156" w:after="156" w:line="560" w:lineRule="exact"/>
        <w:textAlignment w:val="auto"/>
        <w:rPr>
          <w:rFonts w:hint="default" w:ascii="Times New Roman" w:hAnsi="Times New Roman" w:cs="Times New Roman"/>
          <w:color w:val="auto"/>
          <w:sz w:val="30"/>
          <w:szCs w:val="30"/>
        </w:rPr>
      </w:pPr>
      <w:r>
        <w:rPr>
          <w:rFonts w:hint="default" w:ascii="Times New Roman" w:hAnsi="Times New Roman" w:cs="Times New Roman"/>
          <w:color w:val="auto"/>
          <w:sz w:val="30"/>
          <w:szCs w:val="30"/>
        </w:rPr>
        <w:t>持续深入打好净土保卫战</w:t>
      </w:r>
    </w:p>
    <w:p>
      <w:pPr>
        <w:pageBreakBefore w:val="0"/>
        <w:kinsoku/>
        <w:wordWrap/>
        <w:overflowPunct/>
        <w:topLinePunct w:val="0"/>
        <w:autoSpaceDE/>
        <w:autoSpaceDN/>
        <w:bidi w:val="0"/>
        <w:adjustRightInd/>
        <w:snapToGrid/>
        <w:spacing w:line="560" w:lineRule="exact"/>
        <w:ind w:firstLine="602"/>
        <w:textAlignment w:val="auto"/>
        <w:rPr>
          <w:rFonts w:hint="default" w:ascii="Times New Roman" w:hAnsi="Times New Roman" w:eastAsia="仿宋_GB2312" w:cs="Times New Roman"/>
          <w:color w:val="auto"/>
          <w:sz w:val="30"/>
          <w:szCs w:val="30"/>
          <w:lang w:eastAsia="zh-CN"/>
        </w:rPr>
      </w:pPr>
      <w:r>
        <w:rPr>
          <w:rFonts w:hint="default" w:ascii="Times New Roman" w:hAnsi="Times New Roman" w:cs="Times New Roman"/>
          <w:b w:val="0"/>
          <w:bCs w:val="0"/>
          <w:color w:val="auto"/>
          <w:sz w:val="30"/>
          <w:szCs w:val="30"/>
        </w:rPr>
        <w:t>开展耕地土壤定点监测，严格受污染耕地安全利用，落实建设用地土壤污染名录管理，推进绿色低碳修复。构建土壤—地下水协同防治体系，开展工业集聚区地下水监测，防范污染风险。</w:t>
      </w:r>
    </w:p>
    <w:p>
      <w:pPr>
        <w:pStyle w:val="4"/>
        <w:pageBreakBefore w:val="0"/>
        <w:numPr>
          <w:ilvl w:val="0"/>
          <w:numId w:val="8"/>
        </w:numPr>
        <w:kinsoku/>
        <w:wordWrap/>
        <w:overflowPunct/>
        <w:topLinePunct w:val="0"/>
        <w:autoSpaceDE/>
        <w:autoSpaceDN/>
        <w:bidi w:val="0"/>
        <w:adjustRightInd/>
        <w:snapToGrid/>
        <w:spacing w:before="156" w:after="156" w:line="560" w:lineRule="exact"/>
        <w:textAlignment w:val="auto"/>
        <w:rPr>
          <w:rFonts w:hint="default" w:ascii="Times New Roman" w:hAnsi="Times New Roman" w:cs="Times New Roman"/>
          <w:color w:val="auto"/>
          <w:sz w:val="30"/>
          <w:szCs w:val="30"/>
        </w:rPr>
      </w:pPr>
      <w:r>
        <w:rPr>
          <w:rFonts w:hint="default" w:ascii="Times New Roman" w:hAnsi="Times New Roman" w:cs="Times New Roman"/>
          <w:color w:val="auto"/>
          <w:sz w:val="30"/>
          <w:szCs w:val="30"/>
        </w:rPr>
        <w:t>强化固体废物和新污染物治理</w:t>
      </w:r>
    </w:p>
    <w:p>
      <w:pPr>
        <w:pageBreakBefore w:val="0"/>
        <w:kinsoku/>
        <w:wordWrap/>
        <w:overflowPunct/>
        <w:topLinePunct w:val="0"/>
        <w:autoSpaceDE/>
        <w:autoSpaceDN/>
        <w:bidi w:val="0"/>
        <w:adjustRightInd/>
        <w:snapToGrid/>
        <w:spacing w:line="560" w:lineRule="exact"/>
        <w:ind w:firstLine="582"/>
        <w:textAlignment w:val="auto"/>
        <w:rPr>
          <w:rFonts w:hint="default" w:ascii="Times New Roman" w:hAnsi="Times New Roman" w:cs="Times New Roman"/>
          <w:b w:val="0"/>
          <w:bCs w:val="0"/>
          <w:color w:val="auto"/>
          <w:sz w:val="30"/>
          <w:szCs w:val="30"/>
        </w:rPr>
      </w:pPr>
      <w:r>
        <w:rPr>
          <w:rFonts w:hint="default" w:ascii="Times New Roman" w:hAnsi="Times New Roman" w:cs="Times New Roman"/>
          <w:b w:val="0"/>
          <w:bCs w:val="0"/>
          <w:color w:val="auto"/>
          <w:sz w:val="30"/>
          <w:szCs w:val="30"/>
        </w:rPr>
        <w:t>深化固废源头减量，2030年生活垃圾资源化利用率不低于87%。新建新建1座年处理量约40万吨建筑垃圾资源化利用中心，提升危废、污泥无害化处置水平，打造“无废城市”示范亮点。常态化开展新污染物调查，健全部门联合监管，推进塑料污染全链条治理。</w:t>
      </w:r>
    </w:p>
    <w:p>
      <w:pPr>
        <w:pStyle w:val="3"/>
        <w:pageBreakBefore w:val="0"/>
        <w:numPr>
          <w:ilvl w:val="0"/>
          <w:numId w:val="6"/>
        </w:numPr>
        <w:kinsoku/>
        <w:wordWrap/>
        <w:overflowPunct/>
        <w:topLinePunct w:val="0"/>
        <w:autoSpaceDE/>
        <w:autoSpaceDN/>
        <w:bidi w:val="0"/>
        <w:adjustRightInd/>
        <w:snapToGrid/>
        <w:spacing w:before="156" w:after="156" w:line="560" w:lineRule="exact"/>
        <w:textAlignment w:val="auto"/>
        <w:rPr>
          <w:rFonts w:hint="default" w:ascii="Times New Roman" w:hAnsi="Times New Roman" w:cs="Times New Roman"/>
          <w:color w:val="auto"/>
          <w:sz w:val="30"/>
          <w:szCs w:val="30"/>
        </w:rPr>
      </w:pPr>
      <w:r>
        <w:rPr>
          <w:rFonts w:hint="default" w:ascii="Times New Roman" w:hAnsi="Times New Roman" w:cs="Times New Roman"/>
          <w:color w:val="auto"/>
          <w:sz w:val="30"/>
          <w:szCs w:val="30"/>
        </w:rPr>
        <w:t>强化绿色基底，筑牢城乡自然生态屏障</w:t>
      </w:r>
    </w:p>
    <w:p>
      <w:pPr>
        <w:pStyle w:val="4"/>
        <w:pageBreakBefore w:val="0"/>
        <w:numPr>
          <w:ilvl w:val="0"/>
          <w:numId w:val="9"/>
        </w:numPr>
        <w:kinsoku/>
        <w:wordWrap/>
        <w:overflowPunct/>
        <w:topLinePunct w:val="0"/>
        <w:autoSpaceDE/>
        <w:autoSpaceDN/>
        <w:bidi w:val="0"/>
        <w:adjustRightInd/>
        <w:snapToGrid/>
        <w:spacing w:before="156" w:after="156" w:line="560" w:lineRule="exact"/>
        <w:textAlignment w:val="auto"/>
        <w:rPr>
          <w:rFonts w:hint="default" w:ascii="Times New Roman" w:hAnsi="Times New Roman" w:cs="Times New Roman"/>
          <w:color w:val="auto"/>
          <w:sz w:val="30"/>
          <w:szCs w:val="30"/>
        </w:rPr>
      </w:pPr>
      <w:r>
        <w:rPr>
          <w:rFonts w:hint="default" w:ascii="Times New Roman" w:hAnsi="Times New Roman" w:cs="Times New Roman"/>
          <w:color w:val="auto"/>
          <w:sz w:val="30"/>
          <w:szCs w:val="30"/>
        </w:rPr>
        <w:t>优化生态空间管控</w:t>
      </w:r>
    </w:p>
    <w:p>
      <w:pPr>
        <w:pageBreakBefore w:val="0"/>
        <w:widowControl/>
        <w:kinsoku/>
        <w:wordWrap/>
        <w:overflowPunct/>
        <w:topLinePunct w:val="0"/>
        <w:autoSpaceDE/>
        <w:autoSpaceDN/>
        <w:bidi w:val="0"/>
        <w:adjustRightInd/>
        <w:snapToGrid/>
        <w:spacing w:line="560" w:lineRule="exact"/>
        <w:ind w:firstLine="602"/>
        <w:jc w:val="left"/>
        <w:textAlignment w:val="auto"/>
        <w:rPr>
          <w:rFonts w:hint="default" w:ascii="Times New Roman" w:hAnsi="Times New Roman" w:eastAsia="仿宋_GB2312" w:cs="Times New Roman"/>
          <w:b w:val="0"/>
          <w:bCs w:val="0"/>
          <w:color w:val="auto"/>
          <w:sz w:val="30"/>
          <w:szCs w:val="30"/>
          <w:lang w:eastAsia="zh-CN"/>
        </w:rPr>
      </w:pPr>
      <w:r>
        <w:rPr>
          <w:rFonts w:hint="default" w:ascii="Times New Roman" w:hAnsi="Times New Roman" w:cs="Times New Roman"/>
          <w:b w:val="0"/>
          <w:bCs w:val="0"/>
          <w:color w:val="auto"/>
          <w:sz w:val="30"/>
          <w:szCs w:val="30"/>
        </w:rPr>
        <w:t>严格落实生态环境分区管控要求</w:t>
      </w:r>
      <w:r>
        <w:rPr>
          <w:rFonts w:hint="eastAsia" w:ascii="Times New Roman" w:hAnsi="Times New Roman" w:cs="Times New Roman"/>
          <w:b w:val="0"/>
          <w:bCs w:val="0"/>
          <w:color w:val="auto"/>
          <w:sz w:val="30"/>
          <w:szCs w:val="30"/>
          <w:lang w:eastAsia="zh-CN"/>
        </w:rPr>
        <w:t>，</w:t>
      </w:r>
      <w:r>
        <w:rPr>
          <w:rFonts w:hint="default" w:ascii="Times New Roman" w:hAnsi="Times New Roman" w:cs="Times New Roman"/>
          <w:b w:val="0"/>
          <w:bCs w:val="0"/>
          <w:color w:val="auto"/>
          <w:sz w:val="30"/>
          <w:szCs w:val="30"/>
        </w:rPr>
        <w:t>扎实推进分区管控方案的跟踪评估工作，科学评估管控措施的实施效果</w:t>
      </w:r>
      <w:r>
        <w:rPr>
          <w:rFonts w:hint="eastAsia" w:ascii="Times New Roman" w:hAnsi="Times New Roman" w:cs="Times New Roman"/>
          <w:b w:val="0"/>
          <w:bCs w:val="0"/>
          <w:color w:val="auto"/>
          <w:sz w:val="30"/>
          <w:szCs w:val="30"/>
          <w:lang w:eastAsia="zh-CN"/>
        </w:rPr>
        <w:t>，</w:t>
      </w:r>
      <w:r>
        <w:rPr>
          <w:rFonts w:hint="default" w:ascii="Times New Roman" w:hAnsi="Times New Roman" w:cs="Times New Roman"/>
          <w:b w:val="0"/>
          <w:bCs w:val="0"/>
          <w:color w:val="auto"/>
          <w:sz w:val="30"/>
          <w:szCs w:val="30"/>
        </w:rPr>
        <w:t>提升分区管控的科学性与实效性。推进差异化精准管控</w:t>
      </w:r>
      <w:r>
        <w:rPr>
          <w:rFonts w:hint="eastAsia" w:ascii="Times New Roman" w:hAnsi="Times New Roman" w:cs="Times New Roman"/>
          <w:b w:val="0"/>
          <w:bCs w:val="0"/>
          <w:color w:val="auto"/>
          <w:sz w:val="30"/>
          <w:szCs w:val="30"/>
          <w:lang w:eastAsia="zh-CN"/>
        </w:rPr>
        <w:t>，</w:t>
      </w:r>
      <w:r>
        <w:rPr>
          <w:rFonts w:hint="default" w:ascii="Times New Roman" w:hAnsi="Times New Roman" w:cs="Times New Roman"/>
          <w:b w:val="0"/>
          <w:bCs w:val="0"/>
          <w:color w:val="auto"/>
          <w:sz w:val="30"/>
          <w:szCs w:val="30"/>
        </w:rPr>
        <w:t>提升成果在政策制定、环境准入、园区管理、执法监管等方面的应用效能。</w:t>
      </w:r>
    </w:p>
    <w:p>
      <w:pPr>
        <w:pStyle w:val="4"/>
        <w:pageBreakBefore w:val="0"/>
        <w:numPr>
          <w:ilvl w:val="0"/>
          <w:numId w:val="9"/>
        </w:numPr>
        <w:kinsoku/>
        <w:wordWrap/>
        <w:overflowPunct/>
        <w:topLinePunct w:val="0"/>
        <w:autoSpaceDE/>
        <w:autoSpaceDN/>
        <w:bidi w:val="0"/>
        <w:adjustRightInd/>
        <w:snapToGrid/>
        <w:spacing w:before="156" w:after="156" w:line="560" w:lineRule="exact"/>
        <w:textAlignment w:val="auto"/>
        <w:rPr>
          <w:rFonts w:hint="default" w:ascii="Times New Roman" w:hAnsi="Times New Roman" w:cs="Times New Roman"/>
          <w:color w:val="auto"/>
          <w:sz w:val="30"/>
          <w:szCs w:val="30"/>
        </w:rPr>
      </w:pPr>
      <w:r>
        <w:rPr>
          <w:rFonts w:hint="default" w:ascii="Times New Roman" w:hAnsi="Times New Roman" w:cs="Times New Roman"/>
          <w:color w:val="auto"/>
          <w:sz w:val="30"/>
          <w:szCs w:val="30"/>
        </w:rPr>
        <w:t>强化生态建设力度</w:t>
      </w:r>
    </w:p>
    <w:p>
      <w:pPr>
        <w:pageBreakBefore w:val="0"/>
        <w:kinsoku/>
        <w:wordWrap/>
        <w:overflowPunct/>
        <w:topLinePunct w:val="0"/>
        <w:autoSpaceDE/>
        <w:autoSpaceDN/>
        <w:bidi w:val="0"/>
        <w:adjustRightInd/>
        <w:snapToGrid/>
        <w:spacing w:line="560" w:lineRule="exact"/>
        <w:ind w:firstLine="602"/>
        <w:textAlignment w:val="auto"/>
        <w:rPr>
          <w:rFonts w:hint="default" w:ascii="Times New Roman" w:hAnsi="Times New Roman" w:cs="Times New Roman"/>
          <w:color w:val="auto"/>
          <w:sz w:val="30"/>
          <w:szCs w:val="30"/>
          <w:lang w:eastAsia="zh-CN"/>
        </w:rPr>
      </w:pPr>
      <w:r>
        <w:rPr>
          <w:rFonts w:hint="default" w:ascii="Times New Roman" w:hAnsi="Times New Roman" w:cs="Times New Roman"/>
          <w:color w:val="auto"/>
          <w:sz w:val="30"/>
          <w:szCs w:val="30"/>
        </w:rPr>
        <w:t>持续强化以水网为基础，道路、水系为纽带的城乡生态网络建设，加大区域“城园相融、林廊环绕”的生态系统建设力度。</w:t>
      </w:r>
      <w:r>
        <w:rPr>
          <w:rFonts w:hint="default" w:ascii="Times New Roman" w:hAnsi="Times New Roman" w:cs="Times New Roman"/>
          <w:color w:val="auto"/>
          <w:sz w:val="30"/>
          <w:szCs w:val="30"/>
          <w:lang w:eastAsia="zh-CN"/>
        </w:rPr>
        <w:t>推进4条生态走廊补林增绿，2030年森林覆盖率达15%，建成区绿化覆盖率超44%。构建四级公园体系，打造南上海中央公园、新城绿环乡村公园，2030年绿道总长度达250公里，公园绿化服务半径覆盖率达94.1%。高品质打造滨水林绿空间</w:t>
      </w:r>
      <w:r>
        <w:rPr>
          <w:rFonts w:hint="eastAsia" w:ascii="Times New Roman" w:hAnsi="Times New Roman" w:cs="Times New Roman"/>
          <w:color w:val="auto"/>
          <w:sz w:val="30"/>
          <w:szCs w:val="30"/>
          <w:lang w:eastAsia="zh-CN"/>
        </w:rPr>
        <w:t>，</w:t>
      </w:r>
      <w:r>
        <w:rPr>
          <w:rFonts w:hint="default" w:ascii="Times New Roman" w:hAnsi="Times New Roman" w:cs="Times New Roman"/>
          <w:color w:val="auto"/>
          <w:kern w:val="0"/>
          <w:sz w:val="30"/>
          <w:szCs w:val="30"/>
          <w:lang w:bidi="ar"/>
        </w:rPr>
        <w:t>推进各类生态空间建设和提升</w:t>
      </w:r>
      <w:r>
        <w:rPr>
          <w:rFonts w:hint="default" w:ascii="Times New Roman" w:hAnsi="Times New Roman" w:cs="Times New Roman"/>
          <w:color w:val="auto"/>
          <w:sz w:val="30"/>
          <w:szCs w:val="30"/>
          <w:lang w:eastAsia="zh-CN"/>
        </w:rPr>
        <w:t>。</w:t>
      </w:r>
    </w:p>
    <w:p>
      <w:pPr>
        <w:pStyle w:val="4"/>
        <w:pageBreakBefore w:val="0"/>
        <w:numPr>
          <w:ilvl w:val="0"/>
          <w:numId w:val="9"/>
        </w:numPr>
        <w:kinsoku/>
        <w:wordWrap/>
        <w:overflowPunct/>
        <w:topLinePunct w:val="0"/>
        <w:autoSpaceDE/>
        <w:autoSpaceDN/>
        <w:bidi w:val="0"/>
        <w:adjustRightInd/>
        <w:snapToGrid/>
        <w:spacing w:before="156" w:after="156" w:line="560" w:lineRule="exact"/>
        <w:textAlignment w:val="auto"/>
        <w:rPr>
          <w:rFonts w:hint="default" w:ascii="Times New Roman" w:hAnsi="Times New Roman" w:cs="Times New Roman"/>
          <w:color w:val="auto"/>
          <w:sz w:val="30"/>
          <w:szCs w:val="30"/>
        </w:rPr>
      </w:pPr>
      <w:r>
        <w:rPr>
          <w:rFonts w:hint="default" w:ascii="Times New Roman" w:hAnsi="Times New Roman" w:cs="Times New Roman"/>
          <w:color w:val="auto"/>
          <w:sz w:val="30"/>
          <w:szCs w:val="30"/>
        </w:rPr>
        <w:t>提升生态服务能力</w:t>
      </w:r>
    </w:p>
    <w:p>
      <w:pPr>
        <w:pageBreakBefore w:val="0"/>
        <w:widowControl/>
        <w:kinsoku/>
        <w:wordWrap/>
        <w:overflowPunct/>
        <w:topLinePunct w:val="0"/>
        <w:autoSpaceDE/>
        <w:autoSpaceDN/>
        <w:bidi w:val="0"/>
        <w:adjustRightInd/>
        <w:snapToGrid/>
        <w:spacing w:line="560" w:lineRule="exact"/>
        <w:ind w:firstLine="0"/>
        <w:jc w:val="left"/>
        <w:textAlignment w:val="auto"/>
        <w:rPr>
          <w:rFonts w:hint="default" w:ascii="Times New Roman" w:hAnsi="Times New Roman" w:eastAsia="仿宋_GB2312" w:cs="Times New Roman"/>
          <w:b w:val="0"/>
          <w:bCs w:val="0"/>
          <w:color w:val="auto"/>
          <w:sz w:val="30"/>
          <w:szCs w:val="30"/>
          <w:lang w:eastAsia="zh-CN"/>
        </w:rPr>
      </w:pPr>
      <w:r>
        <w:rPr>
          <w:rFonts w:hint="default" w:ascii="Times New Roman" w:hAnsi="Times New Roman" w:cs="Times New Roman"/>
          <w:b w:val="0"/>
          <w:bCs w:val="0"/>
          <w:color w:val="auto"/>
          <w:sz w:val="30"/>
          <w:szCs w:val="30"/>
        </w:rPr>
        <w:t>筑牢南上海生态屏障，严格生态保护红线监管，推进海湾森林公园、生态廊道建设，开展“绿盾”监督。实施杭州湾岸线生态化改造，推进湿地修复与小微湿地营建，提升生态系统碳汇能力。</w:t>
      </w:r>
    </w:p>
    <w:p>
      <w:pPr>
        <w:pStyle w:val="4"/>
        <w:pageBreakBefore w:val="0"/>
        <w:numPr>
          <w:ilvl w:val="0"/>
          <w:numId w:val="9"/>
        </w:numPr>
        <w:kinsoku/>
        <w:wordWrap/>
        <w:overflowPunct/>
        <w:topLinePunct w:val="0"/>
        <w:autoSpaceDE/>
        <w:autoSpaceDN/>
        <w:bidi w:val="0"/>
        <w:adjustRightInd/>
        <w:snapToGrid/>
        <w:spacing w:before="156" w:after="156" w:line="560" w:lineRule="exact"/>
        <w:textAlignment w:val="auto"/>
        <w:rPr>
          <w:rFonts w:hint="default" w:ascii="Times New Roman" w:hAnsi="Times New Roman" w:cs="Times New Roman"/>
          <w:color w:val="auto"/>
          <w:sz w:val="30"/>
          <w:szCs w:val="30"/>
        </w:rPr>
      </w:pPr>
      <w:r>
        <w:rPr>
          <w:rFonts w:hint="default" w:ascii="Times New Roman" w:hAnsi="Times New Roman" w:cs="Times New Roman"/>
          <w:color w:val="auto"/>
          <w:sz w:val="30"/>
          <w:szCs w:val="30"/>
        </w:rPr>
        <w:t>加强生物多样性保护</w:t>
      </w:r>
    </w:p>
    <w:p>
      <w:pPr>
        <w:pageBreakBefore w:val="0"/>
        <w:kinsoku/>
        <w:wordWrap/>
        <w:overflowPunct/>
        <w:topLinePunct w:val="0"/>
        <w:autoSpaceDE/>
        <w:autoSpaceDN/>
        <w:bidi w:val="0"/>
        <w:adjustRightInd/>
        <w:snapToGrid/>
        <w:spacing w:line="560" w:lineRule="exact"/>
        <w:ind w:firstLine="602"/>
        <w:textAlignment w:val="auto"/>
        <w:rPr>
          <w:rFonts w:hint="default" w:ascii="Times New Roman" w:hAnsi="Times New Roman" w:eastAsia="仿宋_GB2312" w:cs="Times New Roman"/>
          <w:b w:val="0"/>
          <w:bCs w:val="0"/>
          <w:color w:val="auto"/>
          <w:sz w:val="30"/>
          <w:szCs w:val="30"/>
          <w:lang w:eastAsia="zh-CN"/>
        </w:rPr>
      </w:pPr>
      <w:r>
        <w:rPr>
          <w:rFonts w:hint="default" w:ascii="Times New Roman" w:hAnsi="Times New Roman" w:cs="Times New Roman"/>
          <w:b w:val="0"/>
          <w:bCs w:val="0"/>
          <w:color w:val="auto"/>
          <w:sz w:val="30"/>
          <w:szCs w:val="30"/>
        </w:rPr>
        <w:t>开展生物多样性本底调查，构建监测网络与保护体系。完善野生动物救护机制，保护湿地候鸟栖息地，做好狗獾栖息地运维，加强珍稀植物迁地保护与极小种群恢复。</w:t>
      </w:r>
    </w:p>
    <w:p>
      <w:pPr>
        <w:pStyle w:val="4"/>
        <w:pageBreakBefore w:val="0"/>
        <w:numPr>
          <w:ilvl w:val="0"/>
          <w:numId w:val="9"/>
        </w:numPr>
        <w:kinsoku/>
        <w:wordWrap/>
        <w:overflowPunct/>
        <w:topLinePunct w:val="0"/>
        <w:autoSpaceDE/>
        <w:autoSpaceDN/>
        <w:bidi w:val="0"/>
        <w:adjustRightInd/>
        <w:snapToGrid/>
        <w:spacing w:before="156" w:after="156" w:line="560" w:lineRule="exact"/>
        <w:textAlignment w:val="auto"/>
        <w:rPr>
          <w:rFonts w:hint="default" w:ascii="Times New Roman" w:hAnsi="Times New Roman" w:cs="Times New Roman"/>
          <w:color w:val="auto"/>
          <w:sz w:val="30"/>
          <w:szCs w:val="30"/>
        </w:rPr>
      </w:pPr>
      <w:r>
        <w:rPr>
          <w:rFonts w:hint="default" w:ascii="Times New Roman" w:hAnsi="Times New Roman" w:cs="Times New Roman"/>
          <w:color w:val="auto"/>
          <w:sz w:val="30"/>
          <w:szCs w:val="30"/>
        </w:rPr>
        <w:t>提升乡村生态环境</w:t>
      </w:r>
    </w:p>
    <w:p>
      <w:pPr>
        <w:pageBreakBefore w:val="0"/>
        <w:kinsoku/>
        <w:wordWrap/>
        <w:overflowPunct/>
        <w:topLinePunct w:val="0"/>
        <w:autoSpaceDE/>
        <w:autoSpaceDN/>
        <w:bidi w:val="0"/>
        <w:adjustRightInd/>
        <w:snapToGrid/>
        <w:spacing w:line="560" w:lineRule="exact"/>
        <w:ind w:firstLine="602"/>
        <w:textAlignment w:val="auto"/>
        <w:rPr>
          <w:rFonts w:hint="default" w:ascii="Times New Roman" w:hAnsi="Times New Roman" w:eastAsia="仿宋_GB2312" w:cs="Times New Roman"/>
          <w:b w:val="0"/>
          <w:bCs w:val="0"/>
          <w:color w:val="auto"/>
          <w:sz w:val="30"/>
          <w:szCs w:val="30"/>
          <w:lang w:eastAsia="zh-CN"/>
        </w:rPr>
      </w:pPr>
      <w:r>
        <w:rPr>
          <w:rFonts w:hint="default" w:ascii="Times New Roman" w:hAnsi="Times New Roman" w:cs="Times New Roman"/>
          <w:b w:val="0"/>
          <w:bCs w:val="0"/>
          <w:color w:val="auto"/>
          <w:sz w:val="30"/>
          <w:szCs w:val="30"/>
        </w:rPr>
        <w:t>发展绿色智慧农业，2030年地产农产品绿色认证率达30%。推进化肥农药减量、畜禽粪污资源化利用，实现秸秆、农膜、农药包装废弃物全量回收处置。整区推进美丽乡村建设，2030年农村生活污水治理全覆盖，打造农文旅融合精品线路。</w:t>
      </w:r>
    </w:p>
    <w:p>
      <w:pPr>
        <w:pStyle w:val="3"/>
        <w:pageBreakBefore w:val="0"/>
        <w:numPr>
          <w:ilvl w:val="0"/>
          <w:numId w:val="6"/>
        </w:numPr>
        <w:kinsoku/>
        <w:wordWrap/>
        <w:overflowPunct/>
        <w:topLinePunct w:val="0"/>
        <w:autoSpaceDE/>
        <w:autoSpaceDN/>
        <w:bidi w:val="0"/>
        <w:adjustRightInd/>
        <w:snapToGrid/>
        <w:spacing w:before="156" w:after="156" w:line="560" w:lineRule="exact"/>
        <w:textAlignment w:val="auto"/>
        <w:rPr>
          <w:rFonts w:hint="default" w:ascii="Times New Roman" w:hAnsi="Times New Roman" w:cs="Times New Roman"/>
          <w:color w:val="auto"/>
          <w:sz w:val="30"/>
          <w:szCs w:val="30"/>
        </w:rPr>
      </w:pPr>
      <w:r>
        <w:rPr>
          <w:rFonts w:hint="default" w:ascii="Times New Roman" w:hAnsi="Times New Roman" w:cs="Times New Roman"/>
          <w:color w:val="auto"/>
          <w:sz w:val="30"/>
          <w:szCs w:val="30"/>
        </w:rPr>
        <w:t>坚守生态安全风险底线，提升区域风险防控水平</w:t>
      </w:r>
    </w:p>
    <w:p>
      <w:pPr>
        <w:pStyle w:val="4"/>
        <w:pageBreakBefore w:val="0"/>
        <w:numPr>
          <w:ilvl w:val="0"/>
          <w:numId w:val="10"/>
        </w:numPr>
        <w:kinsoku/>
        <w:wordWrap/>
        <w:overflowPunct/>
        <w:topLinePunct w:val="0"/>
        <w:autoSpaceDE/>
        <w:autoSpaceDN/>
        <w:bidi w:val="0"/>
        <w:adjustRightInd/>
        <w:snapToGrid/>
        <w:spacing w:before="156" w:after="156" w:line="560" w:lineRule="exact"/>
        <w:textAlignment w:val="auto"/>
        <w:rPr>
          <w:rFonts w:hint="default" w:ascii="Times New Roman" w:hAnsi="Times New Roman" w:cs="Times New Roman"/>
          <w:color w:val="auto"/>
          <w:sz w:val="30"/>
          <w:szCs w:val="30"/>
        </w:rPr>
      </w:pPr>
      <w:r>
        <w:rPr>
          <w:rFonts w:hint="default" w:ascii="Times New Roman" w:hAnsi="Times New Roman" w:cs="Times New Roman"/>
          <w:color w:val="auto"/>
          <w:sz w:val="30"/>
          <w:szCs w:val="30"/>
        </w:rPr>
        <w:t>强化环境风险防控力度</w:t>
      </w:r>
    </w:p>
    <w:p>
      <w:pPr>
        <w:pageBreakBefore w:val="0"/>
        <w:kinsoku/>
        <w:wordWrap/>
        <w:overflowPunct/>
        <w:topLinePunct w:val="0"/>
        <w:autoSpaceDE/>
        <w:autoSpaceDN/>
        <w:bidi w:val="0"/>
        <w:adjustRightInd/>
        <w:snapToGrid/>
        <w:spacing w:line="560" w:lineRule="exact"/>
        <w:ind w:firstLine="602"/>
        <w:textAlignment w:val="auto"/>
        <w:rPr>
          <w:rFonts w:hint="default" w:ascii="Times New Roman" w:hAnsi="Times New Roman" w:eastAsia="仿宋_GB2312" w:cs="Times New Roman"/>
          <w:b w:val="0"/>
          <w:bCs w:val="0"/>
          <w:color w:val="auto"/>
          <w:sz w:val="30"/>
          <w:szCs w:val="30"/>
          <w:lang w:eastAsia="zh-CN"/>
        </w:rPr>
      </w:pPr>
      <w:r>
        <w:rPr>
          <w:rFonts w:hint="default" w:ascii="Times New Roman" w:hAnsi="Times New Roman" w:cs="Times New Roman"/>
          <w:b w:val="0"/>
          <w:bCs w:val="0"/>
          <w:color w:val="auto"/>
          <w:sz w:val="30"/>
          <w:szCs w:val="30"/>
        </w:rPr>
        <w:t>健全应急责任与物资储备体系，开展风险源排摸评估，建立“一河（园）一策一图”，重点防控园区、近岸海域、辐射设施风险，建成2个社会化环境应急资源库。实施重金属源头防治，严格总量控制与排污许可管理。</w:t>
      </w:r>
    </w:p>
    <w:p>
      <w:pPr>
        <w:pStyle w:val="4"/>
        <w:pageBreakBefore w:val="0"/>
        <w:numPr>
          <w:ilvl w:val="0"/>
          <w:numId w:val="10"/>
        </w:numPr>
        <w:kinsoku/>
        <w:wordWrap/>
        <w:overflowPunct/>
        <w:topLinePunct w:val="0"/>
        <w:autoSpaceDE/>
        <w:autoSpaceDN/>
        <w:bidi w:val="0"/>
        <w:adjustRightInd/>
        <w:snapToGrid/>
        <w:spacing w:before="156" w:after="156" w:line="560" w:lineRule="exact"/>
        <w:textAlignment w:val="auto"/>
        <w:rPr>
          <w:rFonts w:hint="default" w:ascii="Times New Roman" w:hAnsi="Times New Roman" w:cs="Times New Roman"/>
          <w:color w:val="auto"/>
          <w:sz w:val="30"/>
          <w:szCs w:val="30"/>
        </w:rPr>
      </w:pPr>
      <w:r>
        <w:rPr>
          <w:rFonts w:hint="default" w:ascii="Times New Roman" w:hAnsi="Times New Roman" w:cs="Times New Roman"/>
          <w:color w:val="auto"/>
          <w:sz w:val="30"/>
          <w:szCs w:val="30"/>
        </w:rPr>
        <w:t>加强危险废物风险管控</w:t>
      </w:r>
    </w:p>
    <w:p>
      <w:pPr>
        <w:pageBreakBefore w:val="0"/>
        <w:kinsoku/>
        <w:wordWrap/>
        <w:overflowPunct/>
        <w:topLinePunct w:val="0"/>
        <w:autoSpaceDE/>
        <w:autoSpaceDN/>
        <w:bidi w:val="0"/>
        <w:adjustRightInd/>
        <w:snapToGrid/>
        <w:spacing w:line="560" w:lineRule="exact"/>
        <w:ind w:firstLine="602"/>
        <w:textAlignment w:val="auto"/>
        <w:rPr>
          <w:rFonts w:hint="default" w:ascii="Times New Roman" w:hAnsi="Times New Roman" w:cs="Times New Roman"/>
          <w:color w:val="auto"/>
          <w:sz w:val="30"/>
          <w:szCs w:val="30"/>
        </w:rPr>
      </w:pPr>
      <w:r>
        <w:rPr>
          <w:rFonts w:hint="default" w:ascii="Times New Roman" w:hAnsi="Times New Roman" w:cs="Times New Roman"/>
          <w:color w:val="auto"/>
          <w:sz w:val="30"/>
          <w:szCs w:val="30"/>
          <w:lang w:eastAsia="zh-CN"/>
        </w:rPr>
        <w:t>实施危废分级分类管理，规范小微收集平台运营，探索行业危废“点对点”定向利用。以杭州湾开发区为试点建设危废智能管理平台，强化电子台账与全流程监管，严厉打击非法处置行为。</w:t>
      </w:r>
    </w:p>
    <w:p>
      <w:pPr>
        <w:pStyle w:val="4"/>
        <w:pageBreakBefore w:val="0"/>
        <w:numPr>
          <w:ilvl w:val="0"/>
          <w:numId w:val="10"/>
        </w:numPr>
        <w:kinsoku/>
        <w:wordWrap/>
        <w:overflowPunct/>
        <w:topLinePunct w:val="0"/>
        <w:autoSpaceDE/>
        <w:autoSpaceDN/>
        <w:bidi w:val="0"/>
        <w:adjustRightInd/>
        <w:snapToGrid/>
        <w:spacing w:before="156" w:after="156" w:line="560" w:lineRule="exact"/>
        <w:textAlignment w:val="auto"/>
        <w:rPr>
          <w:rFonts w:hint="default" w:ascii="Times New Roman" w:hAnsi="Times New Roman" w:cs="Times New Roman"/>
          <w:color w:val="auto"/>
          <w:sz w:val="30"/>
          <w:szCs w:val="30"/>
        </w:rPr>
      </w:pPr>
      <w:r>
        <w:rPr>
          <w:rFonts w:hint="default" w:ascii="Times New Roman" w:hAnsi="Times New Roman" w:cs="Times New Roman"/>
          <w:color w:val="auto"/>
          <w:sz w:val="30"/>
          <w:szCs w:val="30"/>
        </w:rPr>
        <w:t>确保核与辐射安全底线</w:t>
      </w:r>
    </w:p>
    <w:p>
      <w:pPr>
        <w:pageBreakBefore w:val="0"/>
        <w:kinsoku/>
        <w:wordWrap/>
        <w:overflowPunct/>
        <w:topLinePunct w:val="0"/>
        <w:autoSpaceDE/>
        <w:autoSpaceDN/>
        <w:bidi w:val="0"/>
        <w:adjustRightInd/>
        <w:snapToGrid/>
        <w:spacing w:line="560" w:lineRule="exact"/>
        <w:ind w:firstLine="600"/>
        <w:textAlignment w:val="auto"/>
        <w:rPr>
          <w:rFonts w:hint="default" w:ascii="Times New Roman" w:hAnsi="Times New Roman" w:cs="Times New Roman"/>
          <w:color w:val="auto"/>
          <w:sz w:val="30"/>
          <w:szCs w:val="30"/>
          <w:highlight w:val="none"/>
        </w:rPr>
      </w:pPr>
      <w:r>
        <w:rPr>
          <w:rFonts w:hint="default" w:ascii="Times New Roman" w:hAnsi="Times New Roman" w:cs="Times New Roman"/>
          <w:b w:val="0"/>
          <w:bCs w:val="0"/>
          <w:color w:val="auto"/>
          <w:sz w:val="30"/>
          <w:szCs w:val="30"/>
        </w:rPr>
        <w:t>落实辐射安全分级监管，推进老旧设施升级改造，试点高风险放射源在线监控，完善三级辐射监测应急体系，确保辐射环境安全。</w:t>
      </w:r>
    </w:p>
    <w:p>
      <w:pPr>
        <w:pStyle w:val="4"/>
        <w:pageBreakBefore w:val="0"/>
        <w:numPr>
          <w:ilvl w:val="0"/>
          <w:numId w:val="10"/>
        </w:numPr>
        <w:kinsoku/>
        <w:wordWrap/>
        <w:overflowPunct/>
        <w:topLinePunct w:val="0"/>
        <w:autoSpaceDE/>
        <w:autoSpaceDN/>
        <w:bidi w:val="0"/>
        <w:adjustRightInd/>
        <w:snapToGrid/>
        <w:spacing w:before="156" w:after="156" w:line="560" w:lineRule="exact"/>
        <w:textAlignment w:val="auto"/>
        <w:rPr>
          <w:rFonts w:hint="default" w:ascii="Times New Roman" w:hAnsi="Times New Roman" w:cs="Times New Roman"/>
          <w:color w:val="auto"/>
          <w:sz w:val="30"/>
          <w:szCs w:val="30"/>
        </w:rPr>
      </w:pPr>
      <w:r>
        <w:rPr>
          <w:rFonts w:hint="default" w:ascii="Times New Roman" w:hAnsi="Times New Roman" w:cs="Times New Roman"/>
          <w:color w:val="auto"/>
          <w:sz w:val="30"/>
          <w:szCs w:val="30"/>
        </w:rPr>
        <w:t>加强生物安全管理</w:t>
      </w:r>
    </w:p>
    <w:p>
      <w:pPr>
        <w:pageBreakBefore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仿宋_GB2312" w:cs="Times New Roman"/>
          <w:color w:val="auto"/>
          <w:sz w:val="30"/>
          <w:szCs w:val="30"/>
          <w:lang w:eastAsia="zh-CN"/>
        </w:rPr>
      </w:pPr>
      <w:r>
        <w:rPr>
          <w:rFonts w:hint="default" w:ascii="Times New Roman" w:hAnsi="Times New Roman" w:cs="Times New Roman"/>
          <w:color w:val="auto"/>
          <w:sz w:val="30"/>
          <w:szCs w:val="30"/>
        </w:rPr>
        <w:t>开展外来入侵物种普查与治理，推进互花米草整治修复，健全种质资源保护体系，强化生物技术环境安全监管。</w:t>
      </w:r>
    </w:p>
    <w:p>
      <w:pPr>
        <w:pStyle w:val="4"/>
        <w:pageBreakBefore w:val="0"/>
        <w:numPr>
          <w:ilvl w:val="0"/>
          <w:numId w:val="9"/>
        </w:numPr>
        <w:kinsoku/>
        <w:wordWrap/>
        <w:overflowPunct/>
        <w:topLinePunct w:val="0"/>
        <w:autoSpaceDE/>
        <w:autoSpaceDN/>
        <w:bidi w:val="0"/>
        <w:adjustRightInd/>
        <w:snapToGrid/>
        <w:spacing w:before="156" w:after="156" w:line="560" w:lineRule="exact"/>
        <w:textAlignment w:val="auto"/>
        <w:rPr>
          <w:rFonts w:hint="default" w:ascii="Times New Roman" w:hAnsi="Times New Roman" w:cs="Times New Roman"/>
          <w:color w:val="auto"/>
          <w:sz w:val="30"/>
          <w:szCs w:val="30"/>
        </w:rPr>
      </w:pPr>
      <w:r>
        <w:rPr>
          <w:rFonts w:hint="default" w:ascii="Times New Roman" w:hAnsi="Times New Roman" w:cs="Times New Roman"/>
          <w:color w:val="auto"/>
          <w:sz w:val="30"/>
          <w:szCs w:val="30"/>
        </w:rPr>
        <w:t>提升适应气候变化能力</w:t>
      </w:r>
    </w:p>
    <w:p>
      <w:pPr>
        <w:pageBreakBefore w:val="0"/>
        <w:kinsoku/>
        <w:wordWrap/>
        <w:overflowPunct/>
        <w:topLinePunct w:val="0"/>
        <w:autoSpaceDE/>
        <w:autoSpaceDN/>
        <w:bidi w:val="0"/>
        <w:adjustRightInd/>
        <w:snapToGrid/>
        <w:spacing w:line="560" w:lineRule="exact"/>
        <w:ind w:firstLine="600"/>
        <w:textAlignment w:val="auto"/>
        <w:rPr>
          <w:rFonts w:hint="eastAsia" w:ascii="Times New Roman" w:hAnsi="Times New Roman" w:eastAsia="仿宋_GB2312" w:cs="Times New Roman"/>
          <w:color w:val="auto"/>
          <w:sz w:val="30"/>
          <w:szCs w:val="30"/>
          <w:lang w:eastAsia="zh-CN"/>
        </w:rPr>
      </w:pPr>
      <w:r>
        <w:rPr>
          <w:rFonts w:hint="default" w:ascii="Times New Roman" w:hAnsi="Times New Roman" w:cs="Times New Roman"/>
          <w:color w:val="auto"/>
          <w:sz w:val="30"/>
          <w:szCs w:val="30"/>
        </w:rPr>
        <w:t>建设气候观测站网，完善气象灾害预警机制，建立</w:t>
      </w:r>
      <w:r>
        <w:rPr>
          <w:rFonts w:hint="eastAsia" w:ascii="Times New Roman" w:hAnsi="Times New Roman" w:cs="Times New Roman"/>
          <w:color w:val="auto"/>
          <w:sz w:val="30"/>
          <w:szCs w:val="30"/>
          <w:lang w:eastAsia="zh-CN"/>
        </w:rPr>
        <w:t>农</w:t>
      </w:r>
      <w:r>
        <w:rPr>
          <w:rFonts w:hint="default" w:ascii="Times New Roman" w:hAnsi="Times New Roman" w:cs="Times New Roman"/>
          <w:color w:val="auto"/>
          <w:sz w:val="30"/>
          <w:szCs w:val="30"/>
        </w:rPr>
        <w:t>作物气象灾害风险预估机制</w:t>
      </w:r>
      <w:r>
        <w:rPr>
          <w:rFonts w:hint="eastAsia" w:ascii="Times New Roman" w:hAnsi="Times New Roman" w:cs="Times New Roman"/>
          <w:color w:val="auto"/>
          <w:sz w:val="30"/>
          <w:szCs w:val="30"/>
          <w:lang w:eastAsia="zh-CN"/>
        </w:rPr>
        <w:t>。</w:t>
      </w:r>
      <w:r>
        <w:rPr>
          <w:rFonts w:hint="default" w:ascii="Times New Roman" w:hAnsi="Times New Roman" w:cs="Times New Roman"/>
          <w:color w:val="auto"/>
          <w:sz w:val="30"/>
          <w:szCs w:val="30"/>
        </w:rPr>
        <w:t>推进“中国气候宜居城市”示范建设。打造韧性城市，深化海绵城市建设，2030年建成区80%面积达标</w:t>
      </w:r>
      <w:r>
        <w:rPr>
          <w:rFonts w:hint="eastAsia" w:ascii="Times New Roman" w:hAnsi="Times New Roman" w:cs="Times New Roman"/>
          <w:color w:val="auto"/>
          <w:sz w:val="30"/>
          <w:szCs w:val="30"/>
          <w:lang w:eastAsia="zh-CN"/>
        </w:rPr>
        <w:t>。</w:t>
      </w:r>
    </w:p>
    <w:p>
      <w:pPr>
        <w:pStyle w:val="3"/>
        <w:pageBreakBefore w:val="0"/>
        <w:numPr>
          <w:ilvl w:val="0"/>
          <w:numId w:val="6"/>
        </w:numPr>
        <w:kinsoku/>
        <w:wordWrap/>
        <w:overflowPunct/>
        <w:topLinePunct w:val="0"/>
        <w:autoSpaceDE/>
        <w:autoSpaceDN/>
        <w:bidi w:val="0"/>
        <w:adjustRightInd/>
        <w:snapToGrid/>
        <w:spacing w:before="156" w:after="156" w:line="560" w:lineRule="exact"/>
        <w:textAlignment w:val="auto"/>
        <w:rPr>
          <w:rFonts w:hint="default" w:ascii="Times New Roman" w:hAnsi="Times New Roman" w:cs="Times New Roman"/>
          <w:color w:val="auto"/>
          <w:sz w:val="30"/>
          <w:szCs w:val="30"/>
        </w:rPr>
      </w:pPr>
      <w:r>
        <w:rPr>
          <w:rFonts w:hint="default" w:ascii="Times New Roman" w:hAnsi="Times New Roman" w:cs="Times New Roman"/>
          <w:color w:val="auto"/>
          <w:sz w:val="30"/>
          <w:szCs w:val="30"/>
        </w:rPr>
        <w:t>深化监管机制，健全现代环境治理体系</w:t>
      </w:r>
    </w:p>
    <w:p>
      <w:pPr>
        <w:pStyle w:val="4"/>
        <w:pageBreakBefore w:val="0"/>
        <w:numPr>
          <w:ilvl w:val="0"/>
          <w:numId w:val="11"/>
        </w:numPr>
        <w:kinsoku/>
        <w:wordWrap/>
        <w:overflowPunct/>
        <w:topLinePunct w:val="0"/>
        <w:autoSpaceDE/>
        <w:autoSpaceDN/>
        <w:bidi w:val="0"/>
        <w:adjustRightInd/>
        <w:snapToGrid/>
        <w:spacing w:before="156" w:after="156" w:line="560" w:lineRule="exact"/>
        <w:textAlignment w:val="auto"/>
        <w:rPr>
          <w:rFonts w:hint="default" w:ascii="Times New Roman" w:hAnsi="Times New Roman" w:cs="Times New Roman"/>
          <w:color w:val="auto"/>
          <w:sz w:val="30"/>
          <w:szCs w:val="30"/>
        </w:rPr>
      </w:pPr>
      <w:r>
        <w:rPr>
          <w:rFonts w:hint="default" w:ascii="Times New Roman" w:hAnsi="Times New Roman" w:cs="Times New Roman"/>
          <w:color w:val="auto"/>
          <w:sz w:val="30"/>
          <w:szCs w:val="30"/>
        </w:rPr>
        <w:t>完善</w:t>
      </w:r>
      <w:r>
        <w:rPr>
          <w:rFonts w:hint="default" w:ascii="Times New Roman" w:hAnsi="Times New Roman" w:cs="Times New Roman"/>
          <w:color w:val="auto"/>
          <w:sz w:val="30"/>
          <w:szCs w:val="30"/>
          <w:highlight w:val="none"/>
          <w:lang w:eastAsia="zh-CN"/>
        </w:rPr>
        <w:t>工作</w:t>
      </w:r>
      <w:r>
        <w:rPr>
          <w:rFonts w:hint="default" w:ascii="Times New Roman" w:hAnsi="Times New Roman" w:cs="Times New Roman"/>
          <w:color w:val="auto"/>
          <w:sz w:val="30"/>
          <w:szCs w:val="30"/>
        </w:rPr>
        <w:t>机制</w:t>
      </w:r>
    </w:p>
    <w:p>
      <w:pPr>
        <w:pageBreakBefore w:val="0"/>
        <w:kinsoku/>
        <w:wordWrap/>
        <w:overflowPunct/>
        <w:topLinePunct w:val="0"/>
        <w:autoSpaceDE/>
        <w:autoSpaceDN/>
        <w:bidi w:val="0"/>
        <w:adjustRightInd/>
        <w:snapToGrid/>
        <w:spacing w:line="560" w:lineRule="exact"/>
        <w:ind w:firstLine="602"/>
        <w:textAlignment w:val="auto"/>
        <w:rPr>
          <w:rFonts w:hint="default" w:ascii="Times New Roman" w:hAnsi="Times New Roman" w:cs="Times New Roman"/>
          <w:b w:val="0"/>
          <w:bCs w:val="0"/>
          <w:color w:val="auto"/>
          <w:sz w:val="30"/>
          <w:szCs w:val="30"/>
        </w:rPr>
      </w:pPr>
      <w:r>
        <w:rPr>
          <w:rFonts w:hint="default" w:ascii="Times New Roman" w:hAnsi="Times New Roman" w:cs="Times New Roman"/>
          <w:b w:val="0"/>
          <w:bCs w:val="0"/>
          <w:color w:val="auto"/>
          <w:sz w:val="30"/>
          <w:szCs w:val="30"/>
        </w:rPr>
        <w:t>落实生态环保 “党政同责、一岗双责”，深化河湖长制、林长制，健全跨部门、跨区域协同机制。加强与临港新片区协作，深化“放管服”改革，提升基层环保管理能力。强化司法与行政衔接，推进生态环境损害赔偿与公益诉讼。</w:t>
      </w:r>
    </w:p>
    <w:p>
      <w:pPr>
        <w:pStyle w:val="4"/>
        <w:pageBreakBefore w:val="0"/>
        <w:numPr>
          <w:ilvl w:val="0"/>
          <w:numId w:val="11"/>
        </w:numPr>
        <w:kinsoku/>
        <w:wordWrap/>
        <w:overflowPunct/>
        <w:topLinePunct w:val="0"/>
        <w:autoSpaceDE/>
        <w:autoSpaceDN/>
        <w:bidi w:val="0"/>
        <w:adjustRightInd/>
        <w:snapToGrid/>
        <w:spacing w:before="156" w:after="156" w:line="560" w:lineRule="exact"/>
        <w:textAlignment w:val="auto"/>
        <w:rPr>
          <w:rFonts w:hint="default" w:ascii="Times New Roman" w:hAnsi="Times New Roman" w:cs="Times New Roman"/>
          <w:color w:val="auto"/>
          <w:sz w:val="30"/>
          <w:szCs w:val="30"/>
        </w:rPr>
      </w:pPr>
      <w:r>
        <w:rPr>
          <w:rFonts w:hint="default" w:ascii="Times New Roman" w:hAnsi="Times New Roman" w:cs="Times New Roman"/>
          <w:color w:val="auto"/>
          <w:sz w:val="30"/>
          <w:szCs w:val="30"/>
        </w:rPr>
        <w:t>健全治理体系</w:t>
      </w:r>
    </w:p>
    <w:p>
      <w:pPr>
        <w:pageBreakBefore w:val="0"/>
        <w:kinsoku/>
        <w:wordWrap/>
        <w:overflowPunct/>
        <w:topLinePunct w:val="0"/>
        <w:autoSpaceDE/>
        <w:autoSpaceDN/>
        <w:bidi w:val="0"/>
        <w:adjustRightInd/>
        <w:snapToGrid/>
        <w:spacing w:line="560" w:lineRule="exact"/>
        <w:ind w:firstLine="602"/>
        <w:textAlignment w:val="auto"/>
        <w:rPr>
          <w:rFonts w:hint="default" w:ascii="Times New Roman" w:hAnsi="Times New Roman" w:eastAsia="仿宋_GB2312" w:cs="Times New Roman"/>
          <w:b w:val="0"/>
          <w:bCs w:val="0"/>
          <w:color w:val="auto"/>
          <w:sz w:val="30"/>
          <w:szCs w:val="30"/>
          <w:lang w:eastAsia="zh-CN"/>
        </w:rPr>
      </w:pPr>
      <w:r>
        <w:rPr>
          <w:rFonts w:hint="default" w:ascii="Times New Roman" w:hAnsi="Times New Roman" w:cs="Times New Roman"/>
          <w:b w:val="0"/>
          <w:bCs w:val="0"/>
          <w:color w:val="auto"/>
          <w:sz w:val="30"/>
          <w:szCs w:val="30"/>
        </w:rPr>
        <w:t>全面推行排污许可制，实现环评与排污许可 “两证合一”，推进全要素全过程管理。开展新城环评改革试点，优化重大项目审批服务。推行渐进式执法模式，运用非现场监管手段，严防执法 “一刀切”。健全生态环境信用评价，推动ESG体系建设，拓宽社会共治路径。</w:t>
      </w:r>
    </w:p>
    <w:p>
      <w:pPr>
        <w:pStyle w:val="4"/>
        <w:pageBreakBefore w:val="0"/>
        <w:numPr>
          <w:ilvl w:val="0"/>
          <w:numId w:val="11"/>
        </w:numPr>
        <w:kinsoku/>
        <w:wordWrap/>
        <w:overflowPunct/>
        <w:topLinePunct w:val="0"/>
        <w:autoSpaceDE/>
        <w:autoSpaceDN/>
        <w:bidi w:val="0"/>
        <w:adjustRightInd/>
        <w:snapToGrid/>
        <w:spacing w:before="156" w:after="156" w:line="560" w:lineRule="exact"/>
        <w:textAlignment w:val="auto"/>
        <w:rPr>
          <w:rFonts w:hint="default" w:ascii="Times New Roman" w:hAnsi="Times New Roman" w:cs="Times New Roman"/>
          <w:color w:val="auto"/>
          <w:sz w:val="30"/>
          <w:szCs w:val="30"/>
        </w:rPr>
      </w:pPr>
      <w:r>
        <w:rPr>
          <w:rFonts w:hint="default" w:ascii="Times New Roman" w:hAnsi="Times New Roman" w:cs="Times New Roman"/>
          <w:color w:val="auto"/>
          <w:sz w:val="30"/>
          <w:szCs w:val="30"/>
        </w:rPr>
        <w:t>强化科技赋能</w:t>
      </w:r>
    </w:p>
    <w:p>
      <w:pPr>
        <w:pageBreakBefore w:val="0"/>
        <w:kinsoku/>
        <w:wordWrap/>
        <w:overflowPunct/>
        <w:topLinePunct w:val="0"/>
        <w:autoSpaceDE/>
        <w:autoSpaceDN/>
        <w:bidi w:val="0"/>
        <w:adjustRightInd/>
        <w:snapToGrid/>
        <w:spacing w:line="560" w:lineRule="exact"/>
        <w:ind w:firstLine="602"/>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cs="Times New Roman"/>
          <w:color w:val="auto"/>
          <w:sz w:val="30"/>
          <w:szCs w:val="30"/>
        </w:rPr>
        <w:t>构建天空地海一体化智慧监测网络，实现降碳、减污、扩绿协同监测全覆盖。深化人工智能、大数据应用，推动生态环境数据与“一网统管”融合，提升数字化监管与预警能力。</w:t>
      </w:r>
    </w:p>
    <w:p>
      <w:pPr>
        <w:pStyle w:val="4"/>
        <w:pageBreakBefore w:val="0"/>
        <w:numPr>
          <w:ilvl w:val="0"/>
          <w:numId w:val="11"/>
        </w:numPr>
        <w:kinsoku/>
        <w:wordWrap/>
        <w:overflowPunct/>
        <w:topLinePunct w:val="0"/>
        <w:autoSpaceDE/>
        <w:autoSpaceDN/>
        <w:bidi w:val="0"/>
        <w:adjustRightInd/>
        <w:snapToGrid/>
        <w:spacing w:before="156" w:after="156" w:line="560" w:lineRule="exact"/>
        <w:textAlignment w:val="auto"/>
        <w:rPr>
          <w:rFonts w:hint="default" w:ascii="Times New Roman" w:hAnsi="Times New Roman" w:cs="Times New Roman"/>
          <w:color w:val="auto"/>
          <w:sz w:val="30"/>
          <w:szCs w:val="30"/>
        </w:rPr>
      </w:pPr>
      <w:r>
        <w:rPr>
          <w:rFonts w:hint="default" w:ascii="Times New Roman" w:hAnsi="Times New Roman" w:cs="Times New Roman"/>
          <w:color w:val="auto"/>
          <w:sz w:val="30"/>
          <w:szCs w:val="30"/>
        </w:rPr>
        <w:t>发展多元市场</w:t>
      </w:r>
    </w:p>
    <w:p>
      <w:pPr>
        <w:pageBreakBefore w:val="0"/>
        <w:kinsoku/>
        <w:wordWrap/>
        <w:overflowPunct/>
        <w:topLinePunct w:val="0"/>
        <w:autoSpaceDE/>
        <w:autoSpaceDN/>
        <w:bidi w:val="0"/>
        <w:adjustRightInd/>
        <w:snapToGrid/>
        <w:spacing w:line="560" w:lineRule="exact"/>
        <w:ind w:firstLine="602"/>
        <w:textAlignment w:val="auto"/>
        <w:rPr>
          <w:rFonts w:hint="default" w:ascii="Times New Roman" w:hAnsi="Times New Roman" w:cs="Times New Roman"/>
          <w:b w:val="0"/>
          <w:bCs w:val="0"/>
          <w:color w:val="auto"/>
          <w:sz w:val="30"/>
          <w:szCs w:val="30"/>
          <w:highlight w:val="none"/>
        </w:rPr>
      </w:pPr>
      <w:r>
        <w:rPr>
          <w:rFonts w:hint="default" w:ascii="Times New Roman" w:hAnsi="Times New Roman" w:cs="Times New Roman"/>
          <w:b w:val="0"/>
          <w:bCs w:val="0"/>
          <w:color w:val="auto"/>
          <w:sz w:val="30"/>
          <w:szCs w:val="30"/>
        </w:rPr>
        <w:t>鼓励绿色金融发展，推进碳排放权、排污权等市场化交易。探索生态产品价值核算与转化机制，打造“公园+”“森林+”多元业态。完善生态保护补偿机制，强化绿地、林地、湿地占补平衡监督。</w:t>
      </w:r>
    </w:p>
    <w:p>
      <w:pPr>
        <w:pStyle w:val="2"/>
        <w:pageBreakBefore w:val="0"/>
        <w:kinsoku/>
        <w:wordWrap/>
        <w:overflowPunct/>
        <w:topLinePunct w:val="0"/>
        <w:autoSpaceDE/>
        <w:autoSpaceDN/>
        <w:bidi w:val="0"/>
        <w:adjustRightInd/>
        <w:snapToGrid/>
        <w:spacing w:before="156" w:after="156" w:line="560" w:lineRule="exact"/>
        <w:textAlignment w:val="auto"/>
        <w:rPr>
          <w:rFonts w:hint="default" w:ascii="Times New Roman" w:hAnsi="Times New Roman" w:cs="Times New Roman"/>
          <w:color w:val="auto"/>
          <w:sz w:val="30"/>
          <w:szCs w:val="30"/>
        </w:rPr>
      </w:pPr>
      <w:r>
        <w:rPr>
          <w:rFonts w:hint="default" w:ascii="Times New Roman" w:hAnsi="Times New Roman" w:cs="Times New Roman"/>
          <w:color w:val="auto"/>
          <w:sz w:val="30"/>
          <w:szCs w:val="30"/>
        </w:rPr>
        <w:t>保障机制</w:t>
      </w:r>
    </w:p>
    <w:p>
      <w:pPr>
        <w:pageBreakBefore w:val="0"/>
        <w:kinsoku/>
        <w:wordWrap/>
        <w:overflowPunct/>
        <w:topLinePunct w:val="0"/>
        <w:autoSpaceDE/>
        <w:autoSpaceDN/>
        <w:bidi w:val="0"/>
        <w:adjustRightInd/>
        <w:snapToGrid/>
        <w:spacing w:line="560" w:lineRule="exact"/>
        <w:ind w:firstLine="600"/>
        <w:textAlignment w:val="auto"/>
        <w:rPr>
          <w:rFonts w:hint="default" w:ascii="Times New Roman" w:hAnsi="Times New Roman" w:cs="Times New Roman"/>
          <w:color w:val="auto"/>
          <w:sz w:val="30"/>
          <w:szCs w:val="30"/>
        </w:rPr>
      </w:pPr>
      <w:r>
        <w:rPr>
          <w:rFonts w:hint="default" w:ascii="Times New Roman" w:hAnsi="Times New Roman" w:cs="Times New Roman"/>
          <w:color w:val="auto"/>
          <w:sz w:val="30"/>
          <w:szCs w:val="30"/>
        </w:rPr>
        <w:t>健全工作机制，细化落实规划相关目标、任务和工程。强化宣传引导，通过全国生态日、环境日、全国低碳日等活动，结合线上、线下多种形式，加大对美丽奉贤建设经验成果和典型案例的推广和宣传，充分展示美丽奉贤建设的生动实践。加强实施评估，区生态环境局会同相关部门围绕本规划目标指标、重点任务、重大工程进展情况在2028年、2030年度分别进行中期评估和总结评估，强化对规划中约束性指标完成情况的评价考核，并纳入政府部门综合评价和政绩考核评价体系。</w:t>
      </w:r>
    </w:p>
    <w:p>
      <w:pPr>
        <w:pStyle w:val="3"/>
        <w:numPr>
          <w:ilvl w:val="0"/>
          <w:numId w:val="0"/>
        </w:numPr>
        <w:rPr>
          <w:rFonts w:hint="default" w:ascii="Times New Roman" w:hAnsi="Times New Roman" w:cs="Times New Roman"/>
          <w:color w:val="auto"/>
          <w:sz w:val="30"/>
          <w:szCs w:val="30"/>
        </w:rPr>
        <w:sectPr>
          <w:footerReference r:id="rId5" w:type="default"/>
          <w:pgSz w:w="11906" w:h="16838"/>
          <w:pgMar w:top="1440" w:right="1800" w:bottom="1440" w:left="1800" w:header="851" w:footer="992" w:gutter="0"/>
          <w:pgNumType w:start="1"/>
          <w:cols w:space="425" w:num="1"/>
          <w:docGrid w:type="lines" w:linePitch="312" w:charSpace="0"/>
        </w:sectPr>
      </w:pPr>
    </w:p>
    <w:p>
      <w:pPr>
        <w:pStyle w:val="2"/>
        <w:pageBreakBefore w:val="0"/>
        <w:numPr>
          <w:ilvl w:val="0"/>
          <w:numId w:val="0"/>
        </w:numPr>
        <w:kinsoku/>
        <w:wordWrap/>
        <w:overflowPunct/>
        <w:topLinePunct w:val="0"/>
        <w:autoSpaceDE/>
        <w:autoSpaceDN/>
        <w:bidi w:val="0"/>
        <w:adjustRightInd/>
        <w:snapToGrid/>
        <w:spacing w:before="156" w:after="156" w:line="560" w:lineRule="exact"/>
        <w:ind w:leftChars="0"/>
        <w:textAlignment w:val="auto"/>
        <w:rPr>
          <w:rFonts w:hint="default" w:ascii="Times New Roman" w:hAnsi="Times New Roman" w:cs="Times New Roman"/>
          <w:color w:val="auto"/>
          <w:sz w:val="30"/>
          <w:szCs w:val="30"/>
          <w:lang w:val="en-US" w:eastAsia="zh-CN"/>
        </w:rPr>
      </w:pPr>
      <w:r>
        <w:rPr>
          <w:rFonts w:hint="default" w:ascii="Times New Roman" w:hAnsi="Times New Roman" w:cs="Times New Roman"/>
          <w:color w:val="auto"/>
          <w:sz w:val="30"/>
          <w:szCs w:val="30"/>
          <w:lang w:val="en-US" w:eastAsia="zh-CN"/>
        </w:rPr>
        <w:t>附件一：</w:t>
      </w:r>
    </w:p>
    <w:p>
      <w:pPr>
        <w:keepNext w:val="0"/>
        <w:keepLines w:val="0"/>
        <w:pageBreakBefore w:val="0"/>
        <w:widowControl w:val="0"/>
        <w:kinsoku/>
        <w:wordWrap/>
        <w:overflowPunct/>
        <w:topLinePunct w:val="0"/>
        <w:autoSpaceDE/>
        <w:autoSpaceDN/>
        <w:bidi w:val="0"/>
        <w:adjustRightInd/>
        <w:snapToGrid/>
        <w:spacing w:after="209" w:afterLines="50" w:line="560" w:lineRule="exact"/>
        <w:ind w:firstLine="0" w:firstLineChars="0"/>
        <w:jc w:val="center"/>
        <w:textAlignment w:val="auto"/>
        <w:rPr>
          <w:rFonts w:hint="default" w:ascii="Times New Roman" w:hAnsi="Times New Roman" w:eastAsia="黑体" w:cs="Times New Roman"/>
          <w:b w:val="0"/>
          <w:bCs w:val="0"/>
          <w:color w:val="auto"/>
          <w:sz w:val="30"/>
          <w:szCs w:val="30"/>
        </w:rPr>
      </w:pPr>
      <w:r>
        <w:rPr>
          <w:rFonts w:hint="default" w:ascii="Times New Roman" w:hAnsi="Times New Roman" w:eastAsia="黑体" w:cs="Times New Roman"/>
          <w:b w:val="0"/>
          <w:bCs w:val="0"/>
          <w:color w:val="auto"/>
          <w:sz w:val="30"/>
          <w:szCs w:val="30"/>
          <w:lang w:eastAsia="zh-CN"/>
        </w:rPr>
        <w:t>表</w:t>
      </w:r>
      <w:r>
        <w:rPr>
          <w:rFonts w:hint="default" w:ascii="Times New Roman" w:hAnsi="Times New Roman" w:eastAsia="黑体" w:cs="Times New Roman"/>
          <w:b w:val="0"/>
          <w:bCs w:val="0"/>
          <w:color w:val="auto"/>
          <w:sz w:val="30"/>
          <w:szCs w:val="30"/>
          <w:lang w:val="en-US" w:eastAsia="zh-CN"/>
        </w:rPr>
        <w:t xml:space="preserve">1 </w:t>
      </w:r>
      <w:r>
        <w:rPr>
          <w:rFonts w:hint="default" w:ascii="Times New Roman" w:hAnsi="Times New Roman" w:eastAsia="黑体" w:cs="Times New Roman"/>
          <w:b w:val="0"/>
          <w:bCs w:val="0"/>
          <w:color w:val="auto"/>
          <w:sz w:val="30"/>
          <w:szCs w:val="30"/>
        </w:rPr>
        <w:t>“十五五”生态环境保护规划重要指标表</w:t>
      </w:r>
    </w:p>
    <w:tbl>
      <w:tblPr>
        <w:tblStyle w:val="25"/>
        <w:tblW w:w="594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776"/>
        <w:gridCol w:w="797"/>
        <w:gridCol w:w="3326"/>
        <w:gridCol w:w="1529"/>
        <w:gridCol w:w="1330"/>
        <w:gridCol w:w="929"/>
        <w:gridCol w:w="14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blHeader/>
          <w:jc w:val="center"/>
        </w:trPr>
        <w:tc>
          <w:tcPr>
            <w:tcW w:w="383"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b/>
                <w:bCs/>
                <w:i w:val="0"/>
                <w:iCs w:val="0"/>
                <w:color w:val="auto"/>
                <w:sz w:val="24"/>
                <w:szCs w:val="24"/>
                <w:lang w:bidi="ar"/>
              </w:rPr>
            </w:pPr>
            <w:r>
              <w:rPr>
                <w:rFonts w:hint="default" w:ascii="Times New Roman" w:hAnsi="Times New Roman" w:cs="Times New Roman" w:eastAsiaTheme="minorEastAsia"/>
                <w:b/>
                <w:bCs/>
                <w:i w:val="0"/>
                <w:iCs w:val="0"/>
                <w:color w:val="auto"/>
                <w:sz w:val="24"/>
                <w:szCs w:val="24"/>
                <w:lang w:bidi="ar"/>
              </w:rPr>
              <w:t>指标类型</w:t>
            </w:r>
          </w:p>
        </w:tc>
        <w:tc>
          <w:tcPr>
            <w:tcW w:w="393"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b/>
                <w:bCs/>
                <w:i w:val="0"/>
                <w:iCs w:val="0"/>
                <w:color w:val="auto"/>
                <w:sz w:val="24"/>
                <w:szCs w:val="24"/>
                <w:lang w:bidi="ar"/>
              </w:rPr>
            </w:pPr>
            <w:r>
              <w:rPr>
                <w:rFonts w:hint="default" w:ascii="Times New Roman" w:hAnsi="Times New Roman" w:cs="Times New Roman" w:eastAsiaTheme="minorEastAsia"/>
                <w:b/>
                <w:bCs/>
                <w:i w:val="0"/>
                <w:iCs w:val="0"/>
                <w:color w:val="auto"/>
                <w:sz w:val="24"/>
                <w:szCs w:val="24"/>
                <w:lang w:bidi="ar"/>
              </w:rPr>
              <w:t>序号</w:t>
            </w:r>
          </w:p>
        </w:tc>
        <w:tc>
          <w:tcPr>
            <w:tcW w:w="1640"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b/>
                <w:bCs/>
                <w:i w:val="0"/>
                <w:iCs w:val="0"/>
                <w:color w:val="auto"/>
                <w:sz w:val="24"/>
                <w:szCs w:val="24"/>
              </w:rPr>
            </w:pPr>
            <w:r>
              <w:rPr>
                <w:rFonts w:hint="default" w:ascii="Times New Roman" w:hAnsi="Times New Roman" w:cs="Times New Roman" w:eastAsiaTheme="minorEastAsia"/>
                <w:b/>
                <w:bCs/>
                <w:i w:val="0"/>
                <w:iCs w:val="0"/>
                <w:color w:val="auto"/>
                <w:sz w:val="24"/>
                <w:szCs w:val="24"/>
                <w:lang w:bidi="ar"/>
              </w:rPr>
              <w:t>指标名称</w:t>
            </w:r>
          </w:p>
        </w:tc>
        <w:tc>
          <w:tcPr>
            <w:tcW w:w="754"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b/>
                <w:bCs/>
                <w:i w:val="0"/>
                <w:iCs w:val="0"/>
                <w:color w:val="auto"/>
                <w:sz w:val="24"/>
                <w:szCs w:val="24"/>
                <w:lang w:val="en-US" w:eastAsia="zh-CN" w:bidi="ar"/>
              </w:rPr>
            </w:pPr>
            <w:r>
              <w:rPr>
                <w:rFonts w:hint="default" w:ascii="Times New Roman" w:hAnsi="Times New Roman" w:cs="Times New Roman" w:eastAsiaTheme="minorEastAsia"/>
                <w:b/>
                <w:bCs/>
                <w:i w:val="0"/>
                <w:iCs w:val="0"/>
                <w:color w:val="auto"/>
                <w:sz w:val="24"/>
                <w:szCs w:val="24"/>
                <w:lang w:bidi="ar"/>
              </w:rPr>
              <w:t>202</w:t>
            </w:r>
            <w:r>
              <w:rPr>
                <w:rFonts w:hint="default" w:ascii="Times New Roman" w:hAnsi="Times New Roman" w:cs="Times New Roman" w:eastAsiaTheme="minorEastAsia"/>
                <w:b/>
                <w:bCs/>
                <w:i w:val="0"/>
                <w:iCs w:val="0"/>
                <w:color w:val="auto"/>
                <w:sz w:val="24"/>
                <w:szCs w:val="24"/>
                <w:lang w:val="en-US" w:eastAsia="zh-CN" w:bidi="ar"/>
              </w:rPr>
              <w:t>5</w:t>
            </w:r>
            <w:r>
              <w:rPr>
                <w:rFonts w:hint="default" w:ascii="Times New Roman" w:hAnsi="Times New Roman" w:cs="Times New Roman" w:eastAsiaTheme="minorEastAsia"/>
                <w:b/>
                <w:bCs/>
                <w:i w:val="0"/>
                <w:iCs w:val="0"/>
                <w:color w:val="auto"/>
                <w:sz w:val="24"/>
                <w:szCs w:val="24"/>
                <w:lang w:bidi="ar"/>
              </w:rPr>
              <w:t>年</w:t>
            </w:r>
          </w:p>
        </w:tc>
        <w:tc>
          <w:tcPr>
            <w:tcW w:w="656"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b/>
                <w:bCs/>
                <w:i w:val="0"/>
                <w:iCs w:val="0"/>
                <w:color w:val="auto"/>
                <w:sz w:val="24"/>
                <w:szCs w:val="24"/>
                <w:lang w:val="en-US" w:eastAsia="zh-CN" w:bidi="ar"/>
              </w:rPr>
            </w:pPr>
            <w:r>
              <w:rPr>
                <w:rFonts w:hint="default" w:ascii="Times New Roman" w:hAnsi="Times New Roman" w:cs="Times New Roman" w:eastAsiaTheme="minorEastAsia"/>
                <w:b/>
                <w:bCs/>
                <w:i w:val="0"/>
                <w:iCs w:val="0"/>
                <w:color w:val="auto"/>
                <w:sz w:val="24"/>
                <w:szCs w:val="24"/>
                <w:lang w:bidi="ar"/>
              </w:rPr>
              <w:t>2030年</w:t>
            </w:r>
          </w:p>
        </w:tc>
        <w:tc>
          <w:tcPr>
            <w:tcW w:w="458"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b/>
                <w:bCs/>
                <w:i w:val="0"/>
                <w:iCs w:val="0"/>
                <w:color w:val="auto"/>
                <w:sz w:val="24"/>
                <w:szCs w:val="24"/>
                <w:lang w:bidi="ar"/>
              </w:rPr>
            </w:pPr>
            <w:r>
              <w:rPr>
                <w:rFonts w:hint="default" w:ascii="Times New Roman" w:hAnsi="Times New Roman" w:cs="Times New Roman" w:eastAsiaTheme="minorEastAsia"/>
                <w:b/>
                <w:bCs/>
                <w:i w:val="0"/>
                <w:iCs w:val="0"/>
                <w:color w:val="auto"/>
                <w:sz w:val="24"/>
                <w:szCs w:val="24"/>
                <w:lang w:bidi="ar"/>
              </w:rPr>
              <w:t>指标性质</w:t>
            </w:r>
          </w:p>
        </w:tc>
        <w:tc>
          <w:tcPr>
            <w:tcW w:w="712"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b/>
                <w:bCs/>
                <w:i w:val="0"/>
                <w:iCs w:val="0"/>
                <w:color w:val="auto"/>
                <w:sz w:val="24"/>
                <w:szCs w:val="24"/>
                <w:lang w:eastAsia="zh-CN" w:bidi="ar"/>
              </w:rPr>
            </w:pPr>
            <w:r>
              <w:rPr>
                <w:rFonts w:hint="default" w:ascii="Times New Roman" w:hAnsi="Times New Roman" w:cs="Times New Roman" w:eastAsiaTheme="minorEastAsia"/>
                <w:b/>
                <w:bCs/>
                <w:i w:val="0"/>
                <w:iCs w:val="0"/>
                <w:color w:val="auto"/>
                <w:sz w:val="24"/>
                <w:szCs w:val="24"/>
                <w:lang w:eastAsia="zh-CN" w:bidi="ar"/>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770" w:hRule="atLeast"/>
          <w:jc w:val="center"/>
        </w:trPr>
        <w:tc>
          <w:tcPr>
            <w:tcW w:w="383" w:type="pct"/>
            <w:vMerge w:val="restar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i w:val="0"/>
                <w:iCs w:val="0"/>
                <w:color w:val="auto"/>
                <w:sz w:val="24"/>
                <w:szCs w:val="24"/>
                <w:lang w:bidi="ar"/>
              </w:rPr>
            </w:pPr>
            <w:r>
              <w:rPr>
                <w:rFonts w:hint="default" w:ascii="Times New Roman" w:hAnsi="Times New Roman" w:cs="Times New Roman" w:eastAsiaTheme="minorEastAsia"/>
                <w:i w:val="0"/>
                <w:iCs w:val="0"/>
                <w:color w:val="auto"/>
                <w:sz w:val="24"/>
                <w:szCs w:val="24"/>
                <w:lang w:bidi="ar"/>
              </w:rPr>
              <w:t>环境</w:t>
            </w:r>
            <w:r>
              <w:rPr>
                <w:rFonts w:hint="default" w:ascii="Times New Roman" w:hAnsi="Times New Roman" w:cs="Times New Roman" w:eastAsiaTheme="minorEastAsia"/>
                <w:i w:val="0"/>
                <w:iCs w:val="0"/>
                <w:color w:val="auto"/>
                <w:sz w:val="24"/>
                <w:szCs w:val="24"/>
                <w:lang w:val="en-US" w:eastAsia="zh-CN" w:bidi="ar"/>
              </w:rPr>
              <w:t>质量</w:t>
            </w:r>
            <w:r>
              <w:rPr>
                <w:rFonts w:hint="default" w:ascii="Times New Roman" w:hAnsi="Times New Roman" w:cs="Times New Roman" w:eastAsiaTheme="minorEastAsia"/>
                <w:i w:val="0"/>
                <w:iCs w:val="0"/>
                <w:color w:val="auto"/>
                <w:sz w:val="24"/>
                <w:szCs w:val="24"/>
                <w:lang w:bidi="ar"/>
              </w:rPr>
              <w:t>改善</w:t>
            </w:r>
          </w:p>
        </w:tc>
        <w:tc>
          <w:tcPr>
            <w:tcW w:w="393"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i w:val="0"/>
                <w:iCs w:val="0"/>
                <w:color w:val="auto"/>
                <w:sz w:val="24"/>
                <w:szCs w:val="24"/>
                <w:lang w:bidi="ar"/>
              </w:rPr>
            </w:pPr>
            <w:r>
              <w:rPr>
                <w:rFonts w:hint="default" w:ascii="Times New Roman" w:hAnsi="Times New Roman" w:cs="Times New Roman" w:eastAsiaTheme="minorEastAsia"/>
                <w:i w:val="0"/>
                <w:iCs w:val="0"/>
                <w:color w:val="auto"/>
                <w:sz w:val="24"/>
                <w:szCs w:val="24"/>
                <w:lang w:bidi="ar"/>
              </w:rPr>
              <w:t>1</w:t>
            </w:r>
          </w:p>
        </w:tc>
        <w:tc>
          <w:tcPr>
            <w:tcW w:w="1640"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i w:val="0"/>
                <w:iCs w:val="0"/>
                <w:color w:val="auto"/>
                <w:sz w:val="24"/>
                <w:szCs w:val="24"/>
              </w:rPr>
            </w:pPr>
            <w:r>
              <w:rPr>
                <w:rFonts w:hint="default" w:ascii="Times New Roman" w:hAnsi="Times New Roman" w:cs="Times New Roman" w:eastAsiaTheme="minorEastAsia"/>
                <w:i w:val="0"/>
                <w:iCs w:val="0"/>
                <w:color w:val="auto"/>
                <w:sz w:val="24"/>
                <w:szCs w:val="24"/>
                <w:lang w:bidi="ar"/>
              </w:rPr>
              <w:t>细颗粒物年平均浓度（微克/立方米）</w:t>
            </w:r>
          </w:p>
        </w:tc>
        <w:tc>
          <w:tcPr>
            <w:tcW w:w="754"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i w:val="0"/>
                <w:iCs w:val="0"/>
                <w:color w:val="auto"/>
                <w:sz w:val="24"/>
                <w:szCs w:val="24"/>
                <w:lang w:val="en-US" w:eastAsia="zh-CN" w:bidi="ar"/>
              </w:rPr>
            </w:pPr>
            <w:r>
              <w:rPr>
                <w:rFonts w:hint="default" w:ascii="Times New Roman" w:hAnsi="Times New Roman" w:cs="Times New Roman" w:eastAsiaTheme="minorEastAsia"/>
                <w:i w:val="0"/>
                <w:iCs w:val="0"/>
                <w:color w:val="auto"/>
                <w:sz w:val="24"/>
                <w:szCs w:val="24"/>
                <w:lang w:val="en-US" w:eastAsia="zh-CN" w:bidi="ar"/>
              </w:rPr>
              <w:t>26.8</w:t>
            </w:r>
          </w:p>
        </w:tc>
        <w:tc>
          <w:tcPr>
            <w:tcW w:w="656"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sz w:val="24"/>
                <w:szCs w:val="24"/>
              </w:rPr>
            </w:pPr>
            <w:r>
              <w:rPr>
                <w:rFonts w:hint="default" w:ascii="Times New Roman" w:hAnsi="Times New Roman" w:cs="Times New Roman" w:eastAsiaTheme="minorEastAsia"/>
                <w:i w:val="0"/>
                <w:iCs w:val="0"/>
                <w:color w:val="auto"/>
                <w:sz w:val="24"/>
                <w:szCs w:val="24"/>
                <w:lang w:bidi="ar"/>
              </w:rPr>
              <w:t>完成</w:t>
            </w:r>
            <w:r>
              <w:rPr>
                <w:rFonts w:hint="default" w:ascii="Times New Roman" w:hAnsi="Times New Roman" w:cs="Times New Roman" w:eastAsiaTheme="minorEastAsia"/>
                <w:i w:val="0"/>
                <w:iCs w:val="0"/>
                <w:color w:val="auto"/>
                <w:sz w:val="24"/>
                <w:szCs w:val="24"/>
                <w:lang w:val="en-US" w:eastAsia="zh-CN" w:bidi="ar"/>
              </w:rPr>
              <w:t>市级下达目标</w:t>
            </w:r>
          </w:p>
        </w:tc>
        <w:tc>
          <w:tcPr>
            <w:tcW w:w="458"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i w:val="0"/>
                <w:iCs w:val="0"/>
                <w:color w:val="auto"/>
                <w:sz w:val="24"/>
                <w:szCs w:val="24"/>
                <w:lang w:bidi="ar"/>
              </w:rPr>
            </w:pPr>
            <w:r>
              <w:rPr>
                <w:rFonts w:hint="default" w:ascii="Times New Roman" w:hAnsi="Times New Roman" w:cs="Times New Roman" w:eastAsiaTheme="minorEastAsia"/>
                <w:i w:val="0"/>
                <w:iCs w:val="0"/>
                <w:color w:val="auto"/>
                <w:sz w:val="24"/>
                <w:szCs w:val="24"/>
                <w:lang w:bidi="ar"/>
              </w:rPr>
              <w:t>约束性</w:t>
            </w:r>
          </w:p>
        </w:tc>
        <w:tc>
          <w:tcPr>
            <w:tcW w:w="712"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i w:val="0"/>
                <w:iCs w:val="0"/>
                <w:color w:val="auto"/>
                <w:sz w:val="24"/>
                <w:szCs w:val="24"/>
                <w:lang w:eastAsia="zh-CN" w:bidi="ar"/>
              </w:rPr>
            </w:pPr>
            <w:r>
              <w:rPr>
                <w:rFonts w:hint="default" w:ascii="Times New Roman" w:hAnsi="Times New Roman" w:cs="Times New Roman" w:eastAsiaTheme="minorEastAsia"/>
                <w:i w:val="0"/>
                <w:iCs w:val="0"/>
                <w:color w:val="auto"/>
                <w:sz w:val="24"/>
                <w:szCs w:val="24"/>
                <w:lang w:eastAsia="zh-CN" w:bidi="ar"/>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40" w:hRule="atLeast"/>
          <w:jc w:val="center"/>
        </w:trPr>
        <w:tc>
          <w:tcPr>
            <w:tcW w:w="383" w:type="pct"/>
            <w:vMerge w:val="continue"/>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i w:val="0"/>
                <w:iCs w:val="0"/>
                <w:color w:val="auto"/>
                <w:sz w:val="24"/>
                <w:szCs w:val="24"/>
                <w:lang w:bidi="ar"/>
              </w:rPr>
            </w:pPr>
          </w:p>
        </w:tc>
        <w:tc>
          <w:tcPr>
            <w:tcW w:w="393"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
              </w:rPr>
            </w:pPr>
            <w:r>
              <w:rPr>
                <w:rFonts w:hint="default" w:ascii="Times New Roman" w:hAnsi="Times New Roman" w:cs="Times New Roman" w:eastAsiaTheme="minorEastAsia"/>
                <w:i w:val="0"/>
                <w:iCs w:val="0"/>
                <w:color w:val="auto"/>
                <w:sz w:val="24"/>
                <w:szCs w:val="24"/>
                <w:lang w:bidi="ar"/>
              </w:rPr>
              <w:t>2</w:t>
            </w:r>
          </w:p>
        </w:tc>
        <w:tc>
          <w:tcPr>
            <w:tcW w:w="1640"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i w:val="0"/>
                <w:iCs w:val="0"/>
                <w:color w:val="auto"/>
                <w:sz w:val="24"/>
                <w:szCs w:val="24"/>
                <w:lang w:val="en-US" w:eastAsia="zh-CN" w:bidi="ar"/>
              </w:rPr>
            </w:pPr>
            <w:r>
              <w:rPr>
                <w:rFonts w:hint="default" w:ascii="Times New Roman" w:hAnsi="Times New Roman" w:cs="Times New Roman" w:eastAsiaTheme="minorEastAsia"/>
                <w:i w:val="0"/>
                <w:iCs w:val="0"/>
                <w:color w:val="auto"/>
                <w:sz w:val="24"/>
                <w:szCs w:val="24"/>
                <w:lang w:val="en-US" w:eastAsia="zh-CN" w:bidi="ar"/>
              </w:rPr>
              <w:t>空气质量优良天数比率</w:t>
            </w:r>
            <w:r>
              <w:rPr>
                <w:rFonts w:hint="default" w:ascii="Times New Roman" w:hAnsi="Times New Roman" w:cs="Times New Roman" w:eastAsiaTheme="minorEastAsia"/>
                <w:i w:val="0"/>
                <w:iCs w:val="0"/>
                <w:color w:val="auto"/>
                <w:sz w:val="24"/>
                <w:szCs w:val="24"/>
                <w:lang w:bidi="ar"/>
              </w:rPr>
              <w:t>（%）</w:t>
            </w:r>
          </w:p>
        </w:tc>
        <w:tc>
          <w:tcPr>
            <w:tcW w:w="754"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sz w:val="24"/>
                <w:szCs w:val="24"/>
                <w:highlight w:val="none"/>
                <w:lang w:val="en-US" w:eastAsia="zh-CN" w:bidi="ar"/>
              </w:rPr>
            </w:pPr>
            <w:r>
              <w:rPr>
                <w:rFonts w:hint="default" w:ascii="Times New Roman" w:hAnsi="Times New Roman" w:cs="Times New Roman" w:eastAsiaTheme="minorEastAsia"/>
                <w:i w:val="0"/>
                <w:iCs w:val="0"/>
                <w:color w:val="auto"/>
                <w:sz w:val="24"/>
                <w:szCs w:val="24"/>
                <w:highlight w:val="none"/>
                <w:lang w:val="en-US" w:eastAsia="zh-CN" w:bidi="ar"/>
              </w:rPr>
              <w:t>88.7</w:t>
            </w:r>
          </w:p>
        </w:tc>
        <w:tc>
          <w:tcPr>
            <w:tcW w:w="656"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
              </w:rPr>
            </w:pPr>
            <w:r>
              <w:rPr>
                <w:rFonts w:hint="default" w:ascii="Times New Roman" w:hAnsi="Times New Roman" w:cs="Times New Roman" w:eastAsiaTheme="minorEastAsia"/>
                <w:i w:val="0"/>
                <w:iCs w:val="0"/>
                <w:color w:val="auto"/>
                <w:sz w:val="24"/>
                <w:szCs w:val="24"/>
                <w:lang w:bidi="ar"/>
              </w:rPr>
              <w:t>完成</w:t>
            </w:r>
            <w:r>
              <w:rPr>
                <w:rFonts w:hint="default" w:ascii="Times New Roman" w:hAnsi="Times New Roman" w:cs="Times New Roman" w:eastAsiaTheme="minorEastAsia"/>
                <w:i w:val="0"/>
                <w:iCs w:val="0"/>
                <w:color w:val="auto"/>
                <w:sz w:val="24"/>
                <w:szCs w:val="24"/>
                <w:lang w:val="en-US" w:eastAsia="zh-CN" w:bidi="ar"/>
              </w:rPr>
              <w:t>市级下达目标</w:t>
            </w:r>
          </w:p>
        </w:tc>
        <w:tc>
          <w:tcPr>
            <w:tcW w:w="458"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
              </w:rPr>
            </w:pPr>
            <w:r>
              <w:rPr>
                <w:rFonts w:hint="default" w:ascii="Times New Roman" w:hAnsi="Times New Roman" w:cs="Times New Roman" w:eastAsiaTheme="minorEastAsia"/>
                <w:i w:val="0"/>
                <w:iCs w:val="0"/>
                <w:color w:val="auto"/>
                <w:sz w:val="24"/>
                <w:szCs w:val="24"/>
                <w:lang w:bidi="ar"/>
              </w:rPr>
              <w:t>预期性</w:t>
            </w:r>
          </w:p>
        </w:tc>
        <w:tc>
          <w:tcPr>
            <w:tcW w:w="712"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
              </w:rPr>
            </w:pPr>
            <w:r>
              <w:rPr>
                <w:rFonts w:hint="default" w:ascii="Times New Roman" w:hAnsi="Times New Roman" w:cs="Times New Roman" w:eastAsiaTheme="minorEastAsia"/>
                <w:i w:val="0"/>
                <w:iCs w:val="0"/>
                <w:color w:val="auto"/>
                <w:sz w:val="24"/>
                <w:szCs w:val="24"/>
                <w:lang w:eastAsia="zh-CN" w:bidi="ar"/>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40" w:hRule="atLeast"/>
          <w:jc w:val="center"/>
        </w:trPr>
        <w:tc>
          <w:tcPr>
            <w:tcW w:w="383" w:type="pct"/>
            <w:vMerge w:val="continue"/>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i w:val="0"/>
                <w:iCs w:val="0"/>
                <w:color w:val="auto"/>
                <w:sz w:val="24"/>
                <w:szCs w:val="24"/>
                <w:lang w:bidi="ar"/>
              </w:rPr>
            </w:pPr>
          </w:p>
        </w:tc>
        <w:tc>
          <w:tcPr>
            <w:tcW w:w="393"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
              </w:rPr>
            </w:pPr>
            <w:r>
              <w:rPr>
                <w:rFonts w:hint="default" w:ascii="Times New Roman" w:hAnsi="Times New Roman" w:cs="Times New Roman" w:eastAsiaTheme="minorEastAsia"/>
                <w:i w:val="0"/>
                <w:iCs w:val="0"/>
                <w:color w:val="auto"/>
                <w:sz w:val="24"/>
                <w:szCs w:val="24"/>
                <w:lang w:val="en-US" w:eastAsia="zh-CN" w:bidi="ar"/>
              </w:rPr>
              <w:t>3</w:t>
            </w:r>
          </w:p>
        </w:tc>
        <w:tc>
          <w:tcPr>
            <w:tcW w:w="1640"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i w:val="0"/>
                <w:iCs w:val="0"/>
                <w:color w:val="auto"/>
                <w:sz w:val="24"/>
                <w:szCs w:val="24"/>
              </w:rPr>
            </w:pPr>
            <w:r>
              <w:rPr>
                <w:rFonts w:hint="default" w:ascii="Times New Roman" w:hAnsi="Times New Roman" w:cs="Times New Roman" w:eastAsiaTheme="minorEastAsia"/>
                <w:i w:val="0"/>
                <w:iCs w:val="0"/>
                <w:color w:val="auto"/>
                <w:sz w:val="24"/>
                <w:szCs w:val="24"/>
                <w:lang w:bidi="ar"/>
              </w:rPr>
              <w:t>地表水优良水体比例（%）</w:t>
            </w:r>
          </w:p>
        </w:tc>
        <w:tc>
          <w:tcPr>
            <w:tcW w:w="754"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sz w:val="24"/>
                <w:szCs w:val="24"/>
                <w:highlight w:val="none"/>
                <w:lang w:val="en-US" w:eastAsia="zh-CN" w:bidi="ar"/>
              </w:rPr>
            </w:pPr>
            <w:r>
              <w:rPr>
                <w:rFonts w:hint="default" w:ascii="Times New Roman" w:hAnsi="Times New Roman" w:cs="Times New Roman" w:eastAsiaTheme="minorEastAsia"/>
                <w:i w:val="0"/>
                <w:iCs w:val="0"/>
                <w:color w:val="auto"/>
                <w:sz w:val="24"/>
                <w:szCs w:val="24"/>
                <w:highlight w:val="none"/>
                <w:lang w:val="en-US" w:eastAsia="zh-CN" w:bidi="ar"/>
              </w:rPr>
              <w:t>--</w:t>
            </w:r>
          </w:p>
        </w:tc>
        <w:tc>
          <w:tcPr>
            <w:tcW w:w="656"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
              </w:rPr>
            </w:pPr>
            <w:r>
              <w:rPr>
                <w:rFonts w:hint="default" w:ascii="Times New Roman" w:hAnsi="Times New Roman" w:cs="Times New Roman" w:eastAsiaTheme="minorEastAsia"/>
                <w:i w:val="0"/>
                <w:iCs w:val="0"/>
                <w:color w:val="auto"/>
                <w:sz w:val="24"/>
                <w:szCs w:val="24"/>
                <w:lang w:bidi="ar"/>
              </w:rPr>
              <w:t>完成</w:t>
            </w:r>
            <w:r>
              <w:rPr>
                <w:rFonts w:hint="default" w:ascii="Times New Roman" w:hAnsi="Times New Roman" w:cs="Times New Roman" w:eastAsiaTheme="minorEastAsia"/>
                <w:i w:val="0"/>
                <w:iCs w:val="0"/>
                <w:color w:val="auto"/>
                <w:sz w:val="24"/>
                <w:szCs w:val="24"/>
                <w:lang w:val="en-US" w:eastAsia="zh-CN" w:bidi="ar"/>
              </w:rPr>
              <w:t>市级下达目标</w:t>
            </w:r>
          </w:p>
        </w:tc>
        <w:tc>
          <w:tcPr>
            <w:tcW w:w="458"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
              </w:rPr>
            </w:pPr>
            <w:r>
              <w:rPr>
                <w:rFonts w:hint="default" w:ascii="Times New Roman" w:hAnsi="Times New Roman" w:cs="Times New Roman" w:eastAsiaTheme="minorEastAsia"/>
                <w:i w:val="0"/>
                <w:iCs w:val="0"/>
                <w:color w:val="auto"/>
                <w:sz w:val="24"/>
                <w:szCs w:val="24"/>
                <w:lang w:bidi="ar"/>
              </w:rPr>
              <w:t>约束性</w:t>
            </w:r>
          </w:p>
        </w:tc>
        <w:tc>
          <w:tcPr>
            <w:tcW w:w="712"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
              </w:rPr>
            </w:pPr>
            <w:r>
              <w:rPr>
                <w:rFonts w:hint="default" w:ascii="Times New Roman" w:hAnsi="Times New Roman" w:cs="Times New Roman" w:eastAsiaTheme="minorEastAsia"/>
                <w:i w:val="0"/>
                <w:iCs w:val="0"/>
                <w:color w:val="auto"/>
                <w:sz w:val="24"/>
                <w:szCs w:val="24"/>
                <w:lang w:eastAsia="zh-CN" w:bidi="ar"/>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40" w:hRule="atLeast"/>
          <w:jc w:val="center"/>
        </w:trPr>
        <w:tc>
          <w:tcPr>
            <w:tcW w:w="383" w:type="pct"/>
            <w:vMerge w:val="continue"/>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i w:val="0"/>
                <w:iCs w:val="0"/>
                <w:color w:val="auto"/>
                <w:sz w:val="24"/>
                <w:szCs w:val="24"/>
                <w:lang w:bidi="ar"/>
              </w:rPr>
            </w:pPr>
          </w:p>
        </w:tc>
        <w:tc>
          <w:tcPr>
            <w:tcW w:w="393"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i w:val="0"/>
                <w:iCs w:val="0"/>
                <w:color w:val="auto"/>
                <w:sz w:val="24"/>
                <w:szCs w:val="24"/>
                <w:lang w:val="en-US" w:eastAsia="zh-CN" w:bidi="ar"/>
              </w:rPr>
            </w:pPr>
            <w:r>
              <w:rPr>
                <w:rFonts w:hint="default" w:ascii="Times New Roman" w:hAnsi="Times New Roman" w:cs="Times New Roman" w:eastAsiaTheme="minorEastAsia"/>
                <w:i w:val="0"/>
                <w:iCs w:val="0"/>
                <w:color w:val="auto"/>
                <w:sz w:val="24"/>
                <w:szCs w:val="24"/>
                <w:lang w:val="en-US" w:eastAsia="zh-CN" w:bidi="ar"/>
              </w:rPr>
              <w:t>4</w:t>
            </w:r>
          </w:p>
        </w:tc>
        <w:tc>
          <w:tcPr>
            <w:tcW w:w="1640"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i w:val="0"/>
                <w:iCs w:val="0"/>
                <w:color w:val="auto"/>
                <w:sz w:val="24"/>
                <w:szCs w:val="24"/>
              </w:rPr>
            </w:pPr>
            <w:r>
              <w:rPr>
                <w:rFonts w:hint="default" w:ascii="Times New Roman" w:hAnsi="Times New Roman" w:cs="Times New Roman" w:eastAsiaTheme="minorEastAsia"/>
                <w:i w:val="0"/>
                <w:iCs w:val="0"/>
                <w:color w:val="auto"/>
                <w:sz w:val="24"/>
                <w:szCs w:val="24"/>
              </w:rPr>
              <w:t>地表水达到或好于Ⅲ类水体比例（%）</w:t>
            </w:r>
          </w:p>
        </w:tc>
        <w:tc>
          <w:tcPr>
            <w:tcW w:w="754"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
              </w:rPr>
            </w:pPr>
            <w:r>
              <w:rPr>
                <w:rFonts w:hint="default" w:ascii="Times New Roman" w:hAnsi="Times New Roman" w:cs="Times New Roman" w:eastAsiaTheme="minorEastAsia"/>
                <w:i w:val="0"/>
                <w:iCs w:val="0"/>
                <w:color w:val="auto"/>
                <w:sz w:val="24"/>
                <w:szCs w:val="24"/>
                <w:highlight w:val="none"/>
                <w:lang w:val="en-US" w:eastAsia="zh-CN" w:bidi="ar"/>
              </w:rPr>
              <w:t>100</w:t>
            </w:r>
          </w:p>
        </w:tc>
        <w:tc>
          <w:tcPr>
            <w:tcW w:w="656"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SA"/>
              </w:rPr>
            </w:pPr>
            <w:r>
              <w:rPr>
                <w:rFonts w:hint="default" w:ascii="Times New Roman" w:hAnsi="Times New Roman" w:cs="Times New Roman" w:eastAsiaTheme="minorEastAsia"/>
                <w:i w:val="0"/>
                <w:iCs w:val="0"/>
                <w:color w:val="auto"/>
                <w:sz w:val="24"/>
                <w:szCs w:val="24"/>
                <w:lang w:bidi="ar"/>
              </w:rPr>
              <w:t>95左右</w:t>
            </w:r>
          </w:p>
        </w:tc>
        <w:tc>
          <w:tcPr>
            <w:tcW w:w="458"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
              </w:rPr>
            </w:pPr>
            <w:r>
              <w:rPr>
                <w:rFonts w:hint="default" w:ascii="Times New Roman" w:hAnsi="Times New Roman" w:cs="Times New Roman" w:eastAsiaTheme="minorEastAsia"/>
                <w:i w:val="0"/>
                <w:iCs w:val="0"/>
                <w:color w:val="auto"/>
                <w:sz w:val="24"/>
                <w:szCs w:val="24"/>
                <w:lang w:bidi="ar"/>
              </w:rPr>
              <w:t>预期性</w:t>
            </w:r>
          </w:p>
        </w:tc>
        <w:tc>
          <w:tcPr>
            <w:tcW w:w="712"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
              </w:rPr>
            </w:pPr>
            <w:r>
              <w:rPr>
                <w:rFonts w:hint="default" w:ascii="Times New Roman" w:hAnsi="Times New Roman" w:cs="Times New Roman" w:eastAsiaTheme="minorEastAsia"/>
                <w:i w:val="0"/>
                <w:iCs w:val="0"/>
                <w:color w:val="auto"/>
                <w:sz w:val="24"/>
                <w:szCs w:val="24"/>
                <w:lang w:eastAsia="zh-CN" w:bidi="ar"/>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40" w:hRule="atLeast"/>
          <w:jc w:val="center"/>
        </w:trPr>
        <w:tc>
          <w:tcPr>
            <w:tcW w:w="383" w:type="pct"/>
            <w:vMerge w:val="continue"/>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i w:val="0"/>
                <w:iCs w:val="0"/>
                <w:color w:val="auto"/>
                <w:sz w:val="24"/>
                <w:szCs w:val="24"/>
                <w:lang w:bidi="ar"/>
              </w:rPr>
            </w:pPr>
          </w:p>
        </w:tc>
        <w:tc>
          <w:tcPr>
            <w:tcW w:w="393"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i w:val="0"/>
                <w:iCs w:val="0"/>
                <w:color w:val="auto"/>
                <w:sz w:val="24"/>
                <w:szCs w:val="24"/>
                <w:lang w:val="en-US" w:eastAsia="zh-CN" w:bidi="ar"/>
              </w:rPr>
            </w:pPr>
            <w:r>
              <w:rPr>
                <w:rFonts w:hint="default" w:ascii="Times New Roman" w:hAnsi="Times New Roman" w:cs="Times New Roman" w:eastAsiaTheme="minorEastAsia"/>
                <w:i w:val="0"/>
                <w:iCs w:val="0"/>
                <w:color w:val="auto"/>
                <w:sz w:val="24"/>
                <w:szCs w:val="24"/>
                <w:lang w:val="en-US" w:eastAsia="zh-CN" w:bidi="ar"/>
              </w:rPr>
              <w:t>5</w:t>
            </w:r>
          </w:p>
        </w:tc>
        <w:tc>
          <w:tcPr>
            <w:tcW w:w="1640"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SA"/>
              </w:rPr>
            </w:pPr>
            <w:r>
              <w:rPr>
                <w:rFonts w:hint="default" w:ascii="Times New Roman" w:hAnsi="Times New Roman" w:cs="Times New Roman" w:eastAsiaTheme="minorEastAsia"/>
                <w:i w:val="0"/>
                <w:iCs w:val="0"/>
                <w:color w:val="auto"/>
                <w:sz w:val="24"/>
                <w:szCs w:val="24"/>
              </w:rPr>
              <w:t>国控入海河流总氮控制完成国家目标</w:t>
            </w:r>
          </w:p>
        </w:tc>
        <w:tc>
          <w:tcPr>
            <w:tcW w:w="754"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i w:val="0"/>
                <w:iCs w:val="0"/>
                <w:color w:val="auto"/>
                <w:sz w:val="24"/>
                <w:szCs w:val="24"/>
                <w:highlight w:val="none"/>
                <w:lang w:val="en-US" w:eastAsia="zh-CN"/>
              </w:rPr>
            </w:pPr>
            <w:r>
              <w:rPr>
                <w:rFonts w:hint="default" w:ascii="Times New Roman" w:hAnsi="Times New Roman" w:cs="Times New Roman" w:eastAsiaTheme="minorEastAsia"/>
                <w:i w:val="0"/>
                <w:iCs w:val="0"/>
                <w:color w:val="auto"/>
                <w:sz w:val="24"/>
                <w:szCs w:val="24"/>
                <w:highlight w:val="none"/>
                <w:lang w:val="en-US" w:eastAsia="zh-CN"/>
              </w:rPr>
              <w:t>金汇港1.82mg/L;</w:t>
            </w:r>
          </w:p>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SA"/>
              </w:rPr>
            </w:pPr>
            <w:r>
              <w:rPr>
                <w:rFonts w:hint="default" w:ascii="Times New Roman" w:hAnsi="Times New Roman" w:cs="Times New Roman" w:eastAsiaTheme="minorEastAsia"/>
                <w:i w:val="0"/>
                <w:iCs w:val="0"/>
                <w:color w:val="auto"/>
                <w:sz w:val="24"/>
                <w:szCs w:val="24"/>
                <w:highlight w:val="none"/>
                <w:lang w:val="en-US" w:eastAsia="zh-CN"/>
              </w:rPr>
              <w:t>南竹港2.02mg/L</w:t>
            </w:r>
          </w:p>
        </w:tc>
        <w:tc>
          <w:tcPr>
            <w:tcW w:w="656"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
              </w:rPr>
            </w:pPr>
            <w:r>
              <w:rPr>
                <w:rFonts w:hint="default" w:ascii="Times New Roman" w:hAnsi="Times New Roman" w:cs="Times New Roman" w:eastAsiaTheme="minorEastAsia"/>
                <w:i w:val="0"/>
                <w:iCs w:val="0"/>
                <w:color w:val="auto"/>
                <w:sz w:val="24"/>
                <w:szCs w:val="24"/>
                <w:lang w:bidi="ar"/>
              </w:rPr>
              <w:t>完成</w:t>
            </w:r>
            <w:r>
              <w:rPr>
                <w:rFonts w:hint="default" w:ascii="Times New Roman" w:hAnsi="Times New Roman" w:cs="Times New Roman" w:eastAsiaTheme="minorEastAsia"/>
                <w:i w:val="0"/>
                <w:iCs w:val="0"/>
                <w:color w:val="auto"/>
                <w:sz w:val="24"/>
                <w:szCs w:val="24"/>
                <w:lang w:val="en-US" w:eastAsia="zh-CN" w:bidi="ar"/>
              </w:rPr>
              <w:t>市级下达目标</w:t>
            </w:r>
          </w:p>
        </w:tc>
        <w:tc>
          <w:tcPr>
            <w:tcW w:w="458"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
              </w:rPr>
            </w:pPr>
            <w:r>
              <w:rPr>
                <w:rFonts w:hint="default" w:ascii="Times New Roman" w:hAnsi="Times New Roman" w:cs="Times New Roman" w:eastAsiaTheme="minorEastAsia"/>
                <w:i w:val="0"/>
                <w:iCs w:val="0"/>
                <w:color w:val="auto"/>
                <w:sz w:val="24"/>
                <w:szCs w:val="24"/>
                <w:lang w:bidi="ar"/>
              </w:rPr>
              <w:t>预期性</w:t>
            </w:r>
          </w:p>
        </w:tc>
        <w:tc>
          <w:tcPr>
            <w:tcW w:w="712"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
              </w:rPr>
            </w:pPr>
            <w:r>
              <w:rPr>
                <w:rFonts w:hint="default" w:ascii="Times New Roman" w:hAnsi="Times New Roman" w:cs="Times New Roman" w:eastAsiaTheme="minorEastAsia"/>
                <w:i w:val="0"/>
                <w:iCs w:val="0"/>
                <w:color w:val="auto"/>
                <w:sz w:val="24"/>
                <w:szCs w:val="24"/>
                <w:lang w:eastAsia="zh-CN" w:bidi="ar"/>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40" w:hRule="atLeast"/>
          <w:jc w:val="center"/>
        </w:trPr>
        <w:tc>
          <w:tcPr>
            <w:tcW w:w="383" w:type="pct"/>
            <w:vMerge w:val="continue"/>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i w:val="0"/>
                <w:iCs w:val="0"/>
                <w:color w:val="auto"/>
                <w:sz w:val="24"/>
                <w:szCs w:val="24"/>
                <w:lang w:bidi="ar"/>
              </w:rPr>
            </w:pPr>
          </w:p>
        </w:tc>
        <w:tc>
          <w:tcPr>
            <w:tcW w:w="393"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i w:val="0"/>
                <w:iCs w:val="0"/>
                <w:color w:val="auto"/>
                <w:sz w:val="24"/>
                <w:szCs w:val="24"/>
                <w:lang w:val="en-US" w:eastAsia="zh-CN" w:bidi="ar"/>
              </w:rPr>
            </w:pPr>
            <w:r>
              <w:rPr>
                <w:rFonts w:hint="default" w:ascii="Times New Roman" w:hAnsi="Times New Roman" w:cs="Times New Roman" w:eastAsiaTheme="minorEastAsia"/>
                <w:i w:val="0"/>
                <w:iCs w:val="0"/>
                <w:color w:val="auto"/>
                <w:sz w:val="24"/>
                <w:szCs w:val="24"/>
                <w:lang w:val="en-US" w:eastAsia="zh-CN" w:bidi="ar"/>
              </w:rPr>
              <w:t>6</w:t>
            </w:r>
          </w:p>
        </w:tc>
        <w:tc>
          <w:tcPr>
            <w:tcW w:w="1640"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sz w:val="24"/>
                <w:szCs w:val="24"/>
              </w:rPr>
            </w:pPr>
            <w:r>
              <w:rPr>
                <w:rFonts w:hint="default" w:ascii="Times New Roman" w:hAnsi="Times New Roman" w:cs="Times New Roman" w:eastAsiaTheme="minorEastAsia"/>
                <w:i w:val="0"/>
                <w:iCs w:val="0"/>
                <w:color w:val="auto"/>
                <w:sz w:val="24"/>
                <w:szCs w:val="24"/>
              </w:rPr>
              <w:t>声环境功能区夜间达标率（%）</w:t>
            </w:r>
          </w:p>
        </w:tc>
        <w:tc>
          <w:tcPr>
            <w:tcW w:w="754"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sz w:val="24"/>
                <w:szCs w:val="24"/>
                <w:highlight w:val="none"/>
                <w:lang w:val="en-US" w:eastAsia="zh-CN"/>
              </w:rPr>
            </w:pPr>
            <w:r>
              <w:rPr>
                <w:rFonts w:hint="default" w:ascii="Times New Roman" w:hAnsi="Times New Roman" w:cs="Times New Roman" w:eastAsiaTheme="minorEastAsia"/>
                <w:i w:val="0"/>
                <w:iCs w:val="0"/>
                <w:color w:val="auto"/>
                <w:sz w:val="24"/>
                <w:szCs w:val="24"/>
                <w:highlight w:val="none"/>
                <w:lang w:val="en-US" w:eastAsia="zh-CN"/>
              </w:rPr>
              <w:t>82.7</w:t>
            </w:r>
          </w:p>
        </w:tc>
        <w:tc>
          <w:tcPr>
            <w:tcW w:w="656"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
              </w:rPr>
            </w:pPr>
            <w:r>
              <w:rPr>
                <w:rFonts w:hint="default" w:ascii="Times New Roman" w:hAnsi="Times New Roman" w:cs="Times New Roman" w:eastAsiaTheme="minorEastAsia"/>
                <w:i w:val="0"/>
                <w:iCs w:val="0"/>
                <w:color w:val="auto"/>
                <w:sz w:val="24"/>
                <w:szCs w:val="24"/>
                <w:lang w:bidi="ar"/>
              </w:rPr>
              <w:t>完成</w:t>
            </w:r>
            <w:r>
              <w:rPr>
                <w:rFonts w:hint="default" w:ascii="Times New Roman" w:hAnsi="Times New Roman" w:cs="Times New Roman" w:eastAsiaTheme="minorEastAsia"/>
                <w:i w:val="0"/>
                <w:iCs w:val="0"/>
                <w:color w:val="auto"/>
                <w:sz w:val="24"/>
                <w:szCs w:val="24"/>
                <w:lang w:val="en-US" w:eastAsia="zh-CN" w:bidi="ar"/>
              </w:rPr>
              <w:t>市级下达目标</w:t>
            </w:r>
          </w:p>
        </w:tc>
        <w:tc>
          <w:tcPr>
            <w:tcW w:w="458"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sz w:val="24"/>
                <w:szCs w:val="24"/>
                <w:lang w:bidi="ar"/>
              </w:rPr>
            </w:pPr>
            <w:r>
              <w:rPr>
                <w:rFonts w:hint="default" w:ascii="Times New Roman" w:hAnsi="Times New Roman" w:cs="Times New Roman" w:eastAsiaTheme="minorEastAsia"/>
                <w:i w:val="0"/>
                <w:iCs w:val="0"/>
                <w:color w:val="auto"/>
                <w:sz w:val="24"/>
                <w:szCs w:val="24"/>
                <w:lang w:bidi="ar"/>
              </w:rPr>
              <w:t>预期性</w:t>
            </w:r>
          </w:p>
        </w:tc>
        <w:tc>
          <w:tcPr>
            <w:tcW w:w="712"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sz w:val="24"/>
                <w:szCs w:val="24"/>
                <w:lang w:eastAsia="zh-CN" w:bidi="ar"/>
              </w:rPr>
            </w:pPr>
            <w:r>
              <w:rPr>
                <w:rFonts w:hint="default" w:ascii="Times New Roman" w:hAnsi="Times New Roman" w:cs="Times New Roman" w:eastAsiaTheme="minorEastAsia"/>
                <w:i w:val="0"/>
                <w:iCs w:val="0"/>
                <w:color w:val="auto"/>
                <w:sz w:val="24"/>
                <w:szCs w:val="24"/>
                <w:lang w:eastAsia="zh-CN" w:bidi="ar"/>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40" w:hRule="atLeast"/>
          <w:jc w:val="center"/>
        </w:trPr>
        <w:tc>
          <w:tcPr>
            <w:tcW w:w="383" w:type="pct"/>
            <w:vMerge w:val="restar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i w:val="0"/>
                <w:iCs w:val="0"/>
                <w:color w:val="auto"/>
                <w:sz w:val="24"/>
                <w:szCs w:val="24"/>
                <w:lang w:bidi="ar"/>
              </w:rPr>
            </w:pPr>
            <w:r>
              <w:rPr>
                <w:rFonts w:hint="default" w:ascii="Times New Roman" w:hAnsi="Times New Roman" w:cs="Times New Roman" w:eastAsiaTheme="minorEastAsia"/>
                <w:i w:val="0"/>
                <w:iCs w:val="0"/>
                <w:color w:val="auto"/>
                <w:sz w:val="24"/>
                <w:szCs w:val="24"/>
                <w:lang w:bidi="ar"/>
              </w:rPr>
              <w:t>减污降碳协同</w:t>
            </w:r>
          </w:p>
        </w:tc>
        <w:tc>
          <w:tcPr>
            <w:tcW w:w="393"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i w:val="0"/>
                <w:iCs w:val="0"/>
                <w:color w:val="auto"/>
                <w:sz w:val="24"/>
                <w:szCs w:val="24"/>
                <w:lang w:eastAsia="zh-CN" w:bidi="ar"/>
              </w:rPr>
            </w:pPr>
            <w:r>
              <w:rPr>
                <w:rFonts w:hint="default" w:ascii="Times New Roman" w:hAnsi="Times New Roman" w:cs="Times New Roman" w:eastAsiaTheme="minorEastAsia"/>
                <w:i w:val="0"/>
                <w:iCs w:val="0"/>
                <w:color w:val="auto"/>
                <w:sz w:val="24"/>
                <w:szCs w:val="24"/>
                <w:lang w:val="en-US" w:eastAsia="zh-CN" w:bidi="ar"/>
              </w:rPr>
              <w:t>7</w:t>
            </w:r>
          </w:p>
        </w:tc>
        <w:tc>
          <w:tcPr>
            <w:tcW w:w="1640"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SA"/>
              </w:rPr>
            </w:pPr>
            <w:r>
              <w:rPr>
                <w:rFonts w:hint="default" w:ascii="Times New Roman" w:hAnsi="Times New Roman" w:cs="Times New Roman" w:eastAsiaTheme="minorEastAsia"/>
                <w:i w:val="0"/>
                <w:iCs w:val="0"/>
                <w:color w:val="auto"/>
                <w:sz w:val="24"/>
                <w:szCs w:val="24"/>
              </w:rPr>
              <w:t>单位国内生产总值二氧化碳排放降低（%）</w:t>
            </w:r>
          </w:p>
        </w:tc>
        <w:tc>
          <w:tcPr>
            <w:tcW w:w="754"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SA"/>
              </w:rPr>
            </w:pPr>
            <w:r>
              <w:rPr>
                <w:rFonts w:hint="default" w:ascii="Times New Roman" w:hAnsi="Times New Roman" w:cs="Times New Roman" w:eastAsiaTheme="minorEastAsia"/>
                <w:i w:val="0"/>
                <w:iCs w:val="0"/>
                <w:color w:val="auto"/>
                <w:kern w:val="0"/>
                <w:sz w:val="24"/>
                <w:szCs w:val="24"/>
                <w:lang w:val="en-US" w:eastAsia="zh-CN" w:bidi="ar-SA"/>
              </w:rPr>
              <w:t>--</w:t>
            </w:r>
          </w:p>
        </w:tc>
        <w:tc>
          <w:tcPr>
            <w:tcW w:w="656"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SA"/>
              </w:rPr>
            </w:pPr>
            <w:r>
              <w:rPr>
                <w:rFonts w:hint="default" w:ascii="Times New Roman" w:hAnsi="Times New Roman" w:cs="Times New Roman" w:eastAsiaTheme="minorEastAsia"/>
                <w:i w:val="0"/>
                <w:iCs w:val="0"/>
                <w:color w:val="auto"/>
                <w:sz w:val="24"/>
                <w:szCs w:val="24"/>
                <w:lang w:bidi="ar"/>
              </w:rPr>
              <w:t>完成</w:t>
            </w:r>
            <w:r>
              <w:rPr>
                <w:rFonts w:hint="default" w:ascii="Times New Roman" w:hAnsi="Times New Roman" w:cs="Times New Roman" w:eastAsiaTheme="minorEastAsia"/>
                <w:i w:val="0"/>
                <w:iCs w:val="0"/>
                <w:color w:val="auto"/>
                <w:sz w:val="24"/>
                <w:szCs w:val="24"/>
                <w:lang w:val="en-US" w:eastAsia="zh-CN" w:bidi="ar"/>
              </w:rPr>
              <w:t>市级下达目标</w:t>
            </w:r>
          </w:p>
        </w:tc>
        <w:tc>
          <w:tcPr>
            <w:tcW w:w="458"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
              </w:rPr>
            </w:pPr>
            <w:r>
              <w:rPr>
                <w:rFonts w:hint="default" w:ascii="Times New Roman" w:hAnsi="Times New Roman" w:cs="Times New Roman" w:eastAsiaTheme="minorEastAsia"/>
                <w:i w:val="0"/>
                <w:iCs w:val="0"/>
                <w:color w:val="auto"/>
                <w:sz w:val="24"/>
                <w:szCs w:val="24"/>
                <w:lang w:bidi="ar"/>
              </w:rPr>
              <w:t>约束性</w:t>
            </w:r>
          </w:p>
        </w:tc>
        <w:tc>
          <w:tcPr>
            <w:tcW w:w="712"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
              </w:rPr>
            </w:pPr>
            <w:r>
              <w:rPr>
                <w:rFonts w:hint="default" w:ascii="Times New Roman" w:hAnsi="Times New Roman" w:cs="Times New Roman" w:eastAsiaTheme="minorEastAsia"/>
                <w:i w:val="0"/>
                <w:iCs w:val="0"/>
                <w:color w:val="auto"/>
                <w:sz w:val="24"/>
                <w:szCs w:val="24"/>
                <w:lang w:eastAsia="zh-CN" w:bidi="ar"/>
              </w:rPr>
              <w:t>区发展改革委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40" w:hRule="atLeast"/>
          <w:jc w:val="center"/>
        </w:trPr>
        <w:tc>
          <w:tcPr>
            <w:tcW w:w="383" w:type="pct"/>
            <w:vMerge w:val="continue"/>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i w:val="0"/>
                <w:iCs w:val="0"/>
                <w:color w:val="auto"/>
                <w:sz w:val="24"/>
                <w:szCs w:val="24"/>
                <w:lang w:bidi="ar"/>
              </w:rPr>
            </w:pPr>
          </w:p>
        </w:tc>
        <w:tc>
          <w:tcPr>
            <w:tcW w:w="393"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i w:val="0"/>
                <w:iCs w:val="0"/>
                <w:color w:val="auto"/>
                <w:sz w:val="24"/>
                <w:szCs w:val="24"/>
                <w:lang w:val="en-US" w:eastAsia="zh-CN" w:bidi="ar"/>
              </w:rPr>
            </w:pPr>
            <w:r>
              <w:rPr>
                <w:rFonts w:hint="default" w:ascii="Times New Roman" w:hAnsi="Times New Roman" w:cs="Times New Roman" w:eastAsiaTheme="minorEastAsia"/>
                <w:i w:val="0"/>
                <w:iCs w:val="0"/>
                <w:color w:val="auto"/>
                <w:sz w:val="24"/>
                <w:szCs w:val="24"/>
                <w:lang w:val="en-US" w:eastAsia="zh-CN" w:bidi="ar"/>
              </w:rPr>
              <w:t>8</w:t>
            </w:r>
          </w:p>
        </w:tc>
        <w:tc>
          <w:tcPr>
            <w:tcW w:w="1640"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SA"/>
              </w:rPr>
            </w:pPr>
            <w:r>
              <w:rPr>
                <w:rFonts w:hint="default" w:ascii="Times New Roman" w:hAnsi="Times New Roman" w:cs="Times New Roman" w:eastAsiaTheme="minorEastAsia"/>
                <w:i w:val="0"/>
                <w:iCs w:val="0"/>
                <w:color w:val="auto"/>
                <w:sz w:val="24"/>
                <w:szCs w:val="24"/>
              </w:rPr>
              <w:t>氮氧化物、挥发性有机物（VOCs）、化学需氧量、总磷排放总量分别减少（%）</w:t>
            </w:r>
          </w:p>
        </w:tc>
        <w:tc>
          <w:tcPr>
            <w:tcW w:w="754"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SA"/>
              </w:rPr>
            </w:pPr>
            <w:r>
              <w:rPr>
                <w:rFonts w:hint="default" w:ascii="Times New Roman" w:hAnsi="Times New Roman" w:cs="Times New Roman" w:eastAsiaTheme="minorEastAsia"/>
                <w:i w:val="0"/>
                <w:iCs w:val="0"/>
                <w:color w:val="auto"/>
                <w:sz w:val="24"/>
                <w:szCs w:val="24"/>
                <w:lang w:val="en-US" w:eastAsia="zh-CN"/>
              </w:rPr>
              <w:t>完成</w:t>
            </w:r>
          </w:p>
        </w:tc>
        <w:tc>
          <w:tcPr>
            <w:tcW w:w="656"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SA"/>
              </w:rPr>
            </w:pPr>
            <w:r>
              <w:rPr>
                <w:rFonts w:hint="default" w:ascii="Times New Roman" w:hAnsi="Times New Roman" w:cs="Times New Roman" w:eastAsiaTheme="minorEastAsia"/>
                <w:i w:val="0"/>
                <w:iCs w:val="0"/>
                <w:color w:val="auto"/>
                <w:sz w:val="24"/>
                <w:szCs w:val="24"/>
                <w:lang w:bidi="ar"/>
              </w:rPr>
              <w:t>完成</w:t>
            </w:r>
            <w:r>
              <w:rPr>
                <w:rFonts w:hint="default" w:ascii="Times New Roman" w:hAnsi="Times New Roman" w:cs="Times New Roman" w:eastAsiaTheme="minorEastAsia"/>
                <w:i w:val="0"/>
                <w:iCs w:val="0"/>
                <w:color w:val="auto"/>
                <w:sz w:val="24"/>
                <w:szCs w:val="24"/>
                <w:lang w:val="en-US" w:eastAsia="zh-CN" w:bidi="ar"/>
              </w:rPr>
              <w:t>市级下达目标</w:t>
            </w:r>
          </w:p>
        </w:tc>
        <w:tc>
          <w:tcPr>
            <w:tcW w:w="458"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
              </w:rPr>
            </w:pPr>
            <w:r>
              <w:rPr>
                <w:rFonts w:hint="default" w:ascii="Times New Roman" w:hAnsi="Times New Roman" w:cs="Times New Roman" w:eastAsiaTheme="minorEastAsia"/>
                <w:i w:val="0"/>
                <w:iCs w:val="0"/>
                <w:color w:val="auto"/>
                <w:sz w:val="24"/>
                <w:szCs w:val="24"/>
                <w:lang w:bidi="ar"/>
              </w:rPr>
              <w:t>约束性</w:t>
            </w:r>
          </w:p>
        </w:tc>
        <w:tc>
          <w:tcPr>
            <w:tcW w:w="712"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
              </w:rPr>
            </w:pPr>
            <w:r>
              <w:rPr>
                <w:rFonts w:hint="default" w:ascii="Times New Roman" w:hAnsi="Times New Roman" w:cs="Times New Roman" w:eastAsiaTheme="minorEastAsia"/>
                <w:i w:val="0"/>
                <w:iCs w:val="0"/>
                <w:color w:val="auto"/>
                <w:sz w:val="24"/>
                <w:szCs w:val="24"/>
                <w:lang w:eastAsia="zh-CN" w:bidi="ar"/>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40" w:hRule="atLeast"/>
          <w:jc w:val="center"/>
        </w:trPr>
        <w:tc>
          <w:tcPr>
            <w:tcW w:w="383" w:type="pct"/>
            <w:vMerge w:val="continue"/>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i w:val="0"/>
                <w:iCs w:val="0"/>
                <w:color w:val="auto"/>
                <w:sz w:val="24"/>
                <w:szCs w:val="24"/>
                <w:lang w:bidi="ar"/>
              </w:rPr>
            </w:pPr>
          </w:p>
        </w:tc>
        <w:tc>
          <w:tcPr>
            <w:tcW w:w="393"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i w:val="0"/>
                <w:iCs w:val="0"/>
                <w:color w:val="auto"/>
                <w:sz w:val="24"/>
                <w:szCs w:val="24"/>
                <w:lang w:eastAsia="zh-CN" w:bidi="ar"/>
              </w:rPr>
            </w:pPr>
            <w:r>
              <w:rPr>
                <w:rFonts w:hint="default" w:ascii="Times New Roman" w:hAnsi="Times New Roman" w:cs="Times New Roman" w:eastAsiaTheme="minorEastAsia"/>
                <w:i w:val="0"/>
                <w:iCs w:val="0"/>
                <w:color w:val="auto"/>
                <w:sz w:val="24"/>
                <w:szCs w:val="24"/>
                <w:lang w:val="en-US" w:eastAsia="zh-CN" w:bidi="ar"/>
              </w:rPr>
              <w:t>9</w:t>
            </w:r>
          </w:p>
        </w:tc>
        <w:tc>
          <w:tcPr>
            <w:tcW w:w="1640"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SA"/>
              </w:rPr>
            </w:pPr>
            <w:r>
              <w:rPr>
                <w:rFonts w:hint="default" w:ascii="Times New Roman" w:hAnsi="Times New Roman" w:cs="Times New Roman" w:eastAsiaTheme="minorEastAsia"/>
                <w:i w:val="0"/>
                <w:iCs w:val="0"/>
                <w:color w:val="auto"/>
                <w:sz w:val="24"/>
                <w:szCs w:val="24"/>
              </w:rPr>
              <w:t>非化石能源占能源消费总量比重（%）</w:t>
            </w:r>
          </w:p>
        </w:tc>
        <w:tc>
          <w:tcPr>
            <w:tcW w:w="754"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highlight w:val="none"/>
                <w:lang w:val="en-US" w:eastAsia="zh-CN" w:bidi="ar-SA"/>
              </w:rPr>
            </w:pPr>
            <w:r>
              <w:rPr>
                <w:rFonts w:hint="default" w:ascii="Times New Roman" w:hAnsi="Times New Roman" w:cs="Times New Roman" w:eastAsiaTheme="minorEastAsia"/>
                <w:i w:val="0"/>
                <w:iCs w:val="0"/>
                <w:color w:val="auto"/>
                <w:sz w:val="24"/>
                <w:szCs w:val="24"/>
                <w:highlight w:val="none"/>
                <w:lang w:val="en-US" w:eastAsia="zh-CN"/>
              </w:rPr>
              <w:t>4.47（2024）</w:t>
            </w:r>
          </w:p>
        </w:tc>
        <w:tc>
          <w:tcPr>
            <w:tcW w:w="656"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SA"/>
              </w:rPr>
            </w:pPr>
            <w:r>
              <w:rPr>
                <w:rFonts w:hint="default" w:ascii="Times New Roman" w:hAnsi="Times New Roman" w:cs="Times New Roman" w:eastAsiaTheme="minorEastAsia"/>
                <w:i w:val="0"/>
                <w:iCs w:val="0"/>
                <w:color w:val="auto"/>
                <w:sz w:val="24"/>
                <w:szCs w:val="24"/>
                <w:lang w:val="en-US" w:eastAsia="zh-CN"/>
              </w:rPr>
              <w:t>持续提升</w:t>
            </w:r>
          </w:p>
        </w:tc>
        <w:tc>
          <w:tcPr>
            <w:tcW w:w="458"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SA"/>
              </w:rPr>
            </w:pPr>
            <w:r>
              <w:rPr>
                <w:rFonts w:hint="default" w:ascii="Times New Roman" w:hAnsi="Times New Roman" w:cs="Times New Roman" w:eastAsiaTheme="minorEastAsia"/>
                <w:i w:val="0"/>
                <w:iCs w:val="0"/>
                <w:color w:val="auto"/>
                <w:sz w:val="24"/>
                <w:szCs w:val="24"/>
              </w:rPr>
              <w:t>约束性</w:t>
            </w:r>
          </w:p>
        </w:tc>
        <w:tc>
          <w:tcPr>
            <w:tcW w:w="712"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
              </w:rPr>
            </w:pPr>
            <w:r>
              <w:rPr>
                <w:rFonts w:hint="default" w:ascii="Times New Roman" w:hAnsi="Times New Roman" w:cs="Times New Roman" w:eastAsiaTheme="minorEastAsia"/>
                <w:i w:val="0"/>
                <w:iCs w:val="0"/>
                <w:color w:val="auto"/>
                <w:sz w:val="24"/>
                <w:szCs w:val="24"/>
                <w:lang w:eastAsia="zh-CN" w:bidi="ar"/>
              </w:rPr>
              <w:t>区发展改革委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40" w:hRule="atLeast"/>
          <w:jc w:val="center"/>
        </w:trPr>
        <w:tc>
          <w:tcPr>
            <w:tcW w:w="383" w:type="pct"/>
            <w:vMerge w:val="continue"/>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i w:val="0"/>
                <w:iCs w:val="0"/>
                <w:color w:val="auto"/>
                <w:sz w:val="24"/>
                <w:szCs w:val="24"/>
                <w:lang w:bidi="ar"/>
              </w:rPr>
            </w:pPr>
          </w:p>
        </w:tc>
        <w:tc>
          <w:tcPr>
            <w:tcW w:w="393"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i w:val="0"/>
                <w:iCs w:val="0"/>
                <w:color w:val="auto"/>
                <w:sz w:val="24"/>
                <w:szCs w:val="24"/>
                <w:lang w:val="en-US" w:eastAsia="zh-CN" w:bidi="ar"/>
              </w:rPr>
            </w:pPr>
            <w:r>
              <w:rPr>
                <w:rFonts w:hint="default" w:ascii="Times New Roman" w:hAnsi="Times New Roman" w:cs="Times New Roman" w:eastAsiaTheme="minorEastAsia"/>
                <w:i w:val="0"/>
                <w:iCs w:val="0"/>
                <w:color w:val="auto"/>
                <w:sz w:val="24"/>
                <w:szCs w:val="24"/>
                <w:lang w:val="en-US" w:eastAsia="zh-CN" w:bidi="ar"/>
              </w:rPr>
              <w:t>10</w:t>
            </w:r>
          </w:p>
        </w:tc>
        <w:tc>
          <w:tcPr>
            <w:tcW w:w="1640"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i w:val="0"/>
                <w:iCs w:val="0"/>
                <w:color w:val="auto"/>
                <w:sz w:val="24"/>
                <w:szCs w:val="24"/>
                <w:lang w:val="en-US" w:eastAsia="zh-CN"/>
              </w:rPr>
            </w:pPr>
            <w:r>
              <w:rPr>
                <w:rFonts w:hint="default" w:ascii="Times New Roman" w:hAnsi="Times New Roman" w:cs="Times New Roman" w:eastAsiaTheme="minorEastAsia"/>
                <w:i w:val="0"/>
                <w:iCs w:val="0"/>
                <w:color w:val="auto"/>
                <w:sz w:val="24"/>
                <w:szCs w:val="24"/>
                <w:lang w:val="en-US" w:eastAsia="zh-CN"/>
              </w:rPr>
              <w:t>重点建设用地和受污染耕地安全利用率（%）</w:t>
            </w:r>
          </w:p>
        </w:tc>
        <w:tc>
          <w:tcPr>
            <w:tcW w:w="754"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i w:val="0"/>
                <w:iCs w:val="0"/>
                <w:color w:val="auto"/>
                <w:sz w:val="24"/>
                <w:szCs w:val="24"/>
                <w:lang w:val="en-US" w:eastAsia="zh-CN"/>
              </w:rPr>
            </w:pPr>
            <w:r>
              <w:rPr>
                <w:rFonts w:hint="default" w:ascii="Times New Roman" w:hAnsi="Times New Roman" w:cs="Times New Roman" w:eastAsiaTheme="minorEastAsia"/>
                <w:i w:val="0"/>
                <w:iCs w:val="0"/>
                <w:color w:val="auto"/>
                <w:sz w:val="24"/>
                <w:szCs w:val="24"/>
                <w:lang w:val="en-US" w:eastAsia="zh-CN"/>
              </w:rPr>
              <w:t>100</w:t>
            </w:r>
          </w:p>
        </w:tc>
        <w:tc>
          <w:tcPr>
            <w:tcW w:w="656"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i w:val="0"/>
                <w:iCs w:val="0"/>
                <w:color w:val="auto"/>
                <w:sz w:val="24"/>
                <w:szCs w:val="24"/>
                <w:lang w:val="en-US" w:eastAsia="zh-CN"/>
              </w:rPr>
            </w:pPr>
            <w:r>
              <w:rPr>
                <w:rFonts w:hint="default" w:ascii="Times New Roman" w:hAnsi="Times New Roman" w:cs="Times New Roman" w:eastAsiaTheme="minorEastAsia"/>
                <w:i w:val="0"/>
                <w:iCs w:val="0"/>
                <w:color w:val="auto"/>
                <w:sz w:val="24"/>
                <w:szCs w:val="24"/>
                <w:lang w:val="en-US" w:eastAsia="zh-CN"/>
              </w:rPr>
              <w:t>100</w:t>
            </w:r>
          </w:p>
        </w:tc>
        <w:tc>
          <w:tcPr>
            <w:tcW w:w="458"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i w:val="0"/>
                <w:iCs w:val="0"/>
                <w:color w:val="auto"/>
                <w:sz w:val="24"/>
                <w:szCs w:val="24"/>
                <w:lang w:val="en-US" w:eastAsia="zh-CN"/>
              </w:rPr>
            </w:pPr>
            <w:r>
              <w:rPr>
                <w:rFonts w:hint="default" w:ascii="Times New Roman" w:hAnsi="Times New Roman" w:cs="Times New Roman" w:eastAsiaTheme="minorEastAsia"/>
                <w:i w:val="0"/>
                <w:iCs w:val="0"/>
                <w:color w:val="auto"/>
                <w:sz w:val="24"/>
                <w:szCs w:val="24"/>
                <w:lang w:bidi="ar"/>
              </w:rPr>
              <w:t>预期性</w:t>
            </w:r>
          </w:p>
        </w:tc>
        <w:tc>
          <w:tcPr>
            <w:tcW w:w="712"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
              </w:rPr>
            </w:pPr>
            <w:r>
              <w:rPr>
                <w:rFonts w:hint="default" w:ascii="Times New Roman" w:hAnsi="Times New Roman" w:cs="Times New Roman" w:eastAsiaTheme="minorEastAsia"/>
                <w:i w:val="0"/>
                <w:iCs w:val="0"/>
                <w:color w:val="auto"/>
                <w:sz w:val="24"/>
                <w:szCs w:val="24"/>
                <w:lang w:eastAsia="zh-CN" w:bidi="ar"/>
              </w:rPr>
              <w:t>区生态环境局</w:t>
            </w:r>
            <w:r>
              <w:rPr>
                <w:rFonts w:hint="default" w:ascii="Times New Roman" w:hAnsi="Times New Roman" w:cs="Times New Roman" w:eastAsiaTheme="minorEastAsia"/>
                <w:i w:val="0"/>
                <w:iCs w:val="0"/>
                <w:color w:val="auto"/>
                <w:sz w:val="24"/>
                <w:szCs w:val="24"/>
                <w:lang w:val="en-US" w:eastAsia="zh-CN" w:bidi="ar"/>
              </w:rPr>
              <w:t>/</w:t>
            </w:r>
            <w:r>
              <w:rPr>
                <w:rFonts w:hint="default" w:ascii="Times New Roman" w:hAnsi="Times New Roman" w:cs="Times New Roman" w:eastAsiaTheme="minorEastAsia"/>
                <w:i w:val="0"/>
                <w:iCs w:val="0"/>
                <w:color w:val="auto"/>
                <w:sz w:val="24"/>
                <w:szCs w:val="24"/>
                <w:lang w:eastAsia="zh-CN" w:bidi="ar"/>
              </w:rPr>
              <w:t>区农业农村委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40" w:hRule="atLeast"/>
          <w:jc w:val="center"/>
        </w:trPr>
        <w:tc>
          <w:tcPr>
            <w:tcW w:w="383" w:type="pct"/>
            <w:vMerge w:val="continue"/>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i w:val="0"/>
                <w:iCs w:val="0"/>
                <w:color w:val="auto"/>
                <w:sz w:val="24"/>
                <w:szCs w:val="24"/>
                <w:lang w:bidi="ar"/>
              </w:rPr>
            </w:pPr>
          </w:p>
        </w:tc>
        <w:tc>
          <w:tcPr>
            <w:tcW w:w="393"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
              </w:rPr>
            </w:pPr>
            <w:r>
              <w:rPr>
                <w:rFonts w:hint="default" w:ascii="Times New Roman" w:hAnsi="Times New Roman" w:cs="Times New Roman" w:eastAsiaTheme="minorEastAsia"/>
                <w:i w:val="0"/>
                <w:iCs w:val="0"/>
                <w:color w:val="auto"/>
                <w:sz w:val="24"/>
                <w:szCs w:val="24"/>
                <w:lang w:val="en-US" w:eastAsia="zh-CN" w:bidi="ar"/>
              </w:rPr>
              <w:t>11</w:t>
            </w:r>
          </w:p>
        </w:tc>
        <w:tc>
          <w:tcPr>
            <w:tcW w:w="1640"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
              </w:rPr>
            </w:pPr>
            <w:r>
              <w:rPr>
                <w:rFonts w:hint="default" w:ascii="Times New Roman" w:hAnsi="Times New Roman" w:cs="Times New Roman" w:eastAsiaTheme="minorEastAsia"/>
                <w:i w:val="0"/>
                <w:iCs w:val="0"/>
                <w:color w:val="auto"/>
                <w:sz w:val="24"/>
                <w:szCs w:val="24"/>
                <w:lang w:eastAsia="zh-CN"/>
              </w:rPr>
              <w:t>“无废城市”</w:t>
            </w:r>
            <w:r>
              <w:rPr>
                <w:rFonts w:hint="default" w:ascii="Times New Roman" w:hAnsi="Times New Roman" w:cs="Times New Roman" w:eastAsiaTheme="minorEastAsia"/>
                <w:i w:val="0"/>
                <w:iCs w:val="0"/>
                <w:color w:val="auto"/>
                <w:sz w:val="24"/>
                <w:szCs w:val="24"/>
              </w:rPr>
              <w:t>指数</w:t>
            </w:r>
          </w:p>
        </w:tc>
        <w:tc>
          <w:tcPr>
            <w:tcW w:w="754"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
              </w:rPr>
            </w:pPr>
            <w:r>
              <w:rPr>
                <w:rFonts w:hint="default" w:ascii="Times New Roman" w:hAnsi="Times New Roman" w:cs="Times New Roman" w:eastAsiaTheme="minorEastAsia"/>
                <w:i w:val="0"/>
                <w:iCs w:val="0"/>
                <w:color w:val="auto"/>
                <w:sz w:val="24"/>
                <w:szCs w:val="24"/>
                <w:lang w:bidi="ar"/>
              </w:rPr>
              <w:t>85.08</w:t>
            </w:r>
          </w:p>
        </w:tc>
        <w:tc>
          <w:tcPr>
            <w:tcW w:w="656"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SA"/>
              </w:rPr>
            </w:pPr>
            <w:r>
              <w:rPr>
                <w:rFonts w:hint="default" w:ascii="Times New Roman" w:hAnsi="Times New Roman" w:cs="Times New Roman" w:eastAsiaTheme="minorEastAsia"/>
                <w:i w:val="0"/>
                <w:iCs w:val="0"/>
                <w:color w:val="auto"/>
                <w:sz w:val="24"/>
                <w:szCs w:val="24"/>
                <w:lang w:eastAsia="zh-CN"/>
              </w:rPr>
              <w:t>稳步提升</w:t>
            </w:r>
          </w:p>
        </w:tc>
        <w:tc>
          <w:tcPr>
            <w:tcW w:w="458"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
              </w:rPr>
            </w:pPr>
            <w:r>
              <w:rPr>
                <w:rFonts w:hint="default" w:ascii="Times New Roman" w:hAnsi="Times New Roman" w:cs="Times New Roman" w:eastAsiaTheme="minorEastAsia"/>
                <w:i w:val="0"/>
                <w:iCs w:val="0"/>
                <w:color w:val="auto"/>
                <w:sz w:val="24"/>
                <w:szCs w:val="24"/>
                <w:lang w:bidi="ar"/>
              </w:rPr>
              <w:t>预期性</w:t>
            </w:r>
          </w:p>
        </w:tc>
        <w:tc>
          <w:tcPr>
            <w:tcW w:w="712"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sz w:val="24"/>
                <w:szCs w:val="24"/>
                <w:lang w:eastAsia="zh-CN" w:bidi="ar"/>
              </w:rPr>
            </w:pPr>
            <w:r>
              <w:rPr>
                <w:rFonts w:hint="default" w:ascii="Times New Roman" w:hAnsi="Times New Roman" w:cs="Times New Roman" w:eastAsiaTheme="minorEastAsia"/>
                <w:i w:val="0"/>
                <w:iCs w:val="0"/>
                <w:color w:val="auto"/>
                <w:sz w:val="24"/>
                <w:szCs w:val="24"/>
                <w:lang w:eastAsia="zh-CN" w:bidi="ar"/>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40" w:hRule="atLeast"/>
          <w:jc w:val="center"/>
        </w:trPr>
        <w:tc>
          <w:tcPr>
            <w:tcW w:w="383" w:type="pct"/>
            <w:vMerge w:val="continue"/>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i w:val="0"/>
                <w:iCs w:val="0"/>
                <w:color w:val="auto"/>
                <w:sz w:val="24"/>
                <w:szCs w:val="24"/>
                <w:lang w:bidi="ar"/>
              </w:rPr>
            </w:pPr>
          </w:p>
        </w:tc>
        <w:tc>
          <w:tcPr>
            <w:tcW w:w="393"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
              </w:rPr>
            </w:pPr>
            <w:r>
              <w:rPr>
                <w:rFonts w:hint="default" w:ascii="Times New Roman" w:hAnsi="Times New Roman" w:cs="Times New Roman" w:eastAsiaTheme="minorEastAsia"/>
                <w:i w:val="0"/>
                <w:iCs w:val="0"/>
                <w:color w:val="auto"/>
                <w:sz w:val="24"/>
                <w:szCs w:val="24"/>
                <w:lang w:bidi="ar"/>
              </w:rPr>
              <w:t>1</w:t>
            </w:r>
            <w:r>
              <w:rPr>
                <w:rFonts w:hint="default" w:ascii="Times New Roman" w:hAnsi="Times New Roman" w:cs="Times New Roman" w:eastAsiaTheme="minorEastAsia"/>
                <w:i w:val="0"/>
                <w:iCs w:val="0"/>
                <w:color w:val="auto"/>
                <w:sz w:val="24"/>
                <w:szCs w:val="24"/>
                <w:lang w:val="en-US" w:eastAsia="zh-CN" w:bidi="ar"/>
              </w:rPr>
              <w:t>2</w:t>
            </w:r>
          </w:p>
        </w:tc>
        <w:tc>
          <w:tcPr>
            <w:tcW w:w="1640"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i w:val="0"/>
                <w:iCs w:val="0"/>
                <w:color w:val="auto"/>
                <w:sz w:val="24"/>
                <w:szCs w:val="24"/>
                <w:lang w:bidi="ar"/>
              </w:rPr>
            </w:pPr>
            <w:r>
              <w:rPr>
                <w:rFonts w:hint="default" w:ascii="Times New Roman" w:hAnsi="Times New Roman" w:cs="Times New Roman" w:eastAsiaTheme="minorEastAsia"/>
                <w:i w:val="0"/>
                <w:iCs w:val="0"/>
                <w:color w:val="auto"/>
                <w:sz w:val="24"/>
                <w:szCs w:val="24"/>
              </w:rPr>
              <w:t>生活垃圾</w:t>
            </w:r>
            <w:r>
              <w:rPr>
                <w:rFonts w:hint="default" w:ascii="Times New Roman" w:hAnsi="Times New Roman" w:cs="Times New Roman" w:eastAsiaTheme="minorEastAsia"/>
                <w:i w:val="0"/>
                <w:iCs w:val="0"/>
                <w:color w:val="auto"/>
                <w:sz w:val="24"/>
                <w:szCs w:val="24"/>
                <w:lang w:val="en-US" w:eastAsia="zh-CN"/>
              </w:rPr>
              <w:t>回收</w:t>
            </w:r>
            <w:r>
              <w:rPr>
                <w:rFonts w:hint="default" w:ascii="Times New Roman" w:hAnsi="Times New Roman" w:cs="Times New Roman" w:eastAsiaTheme="minorEastAsia"/>
                <w:i w:val="0"/>
                <w:iCs w:val="0"/>
                <w:color w:val="auto"/>
                <w:sz w:val="24"/>
                <w:szCs w:val="24"/>
              </w:rPr>
              <w:t>利用率（%）</w:t>
            </w:r>
          </w:p>
        </w:tc>
        <w:tc>
          <w:tcPr>
            <w:tcW w:w="754"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i w:val="0"/>
                <w:iCs w:val="0"/>
                <w:color w:val="auto"/>
                <w:sz w:val="24"/>
                <w:szCs w:val="24"/>
                <w:lang w:val="en-US" w:eastAsia="zh-CN" w:bidi="ar"/>
              </w:rPr>
            </w:pPr>
            <w:r>
              <w:rPr>
                <w:rFonts w:hint="default" w:ascii="Times New Roman" w:hAnsi="Times New Roman" w:cs="Times New Roman" w:eastAsiaTheme="minorEastAsia"/>
                <w:i w:val="0"/>
                <w:iCs w:val="0"/>
                <w:color w:val="auto"/>
                <w:sz w:val="24"/>
                <w:szCs w:val="24"/>
                <w:lang w:val="en-US" w:eastAsia="zh-CN" w:bidi="ar"/>
              </w:rPr>
              <w:t>46.4</w:t>
            </w:r>
          </w:p>
        </w:tc>
        <w:tc>
          <w:tcPr>
            <w:tcW w:w="656"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i w:val="0"/>
                <w:iCs w:val="0"/>
                <w:color w:val="auto"/>
                <w:sz w:val="24"/>
                <w:szCs w:val="24"/>
              </w:rPr>
            </w:pPr>
            <w:r>
              <w:rPr>
                <w:rFonts w:hint="default" w:ascii="Times New Roman" w:hAnsi="Times New Roman" w:cs="Times New Roman" w:eastAsiaTheme="minorEastAsia"/>
                <w:i w:val="0"/>
                <w:iCs w:val="0"/>
                <w:color w:val="auto"/>
                <w:sz w:val="24"/>
                <w:szCs w:val="24"/>
              </w:rPr>
              <w:t>≥46</w:t>
            </w:r>
          </w:p>
        </w:tc>
        <w:tc>
          <w:tcPr>
            <w:tcW w:w="458"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i w:val="0"/>
                <w:iCs w:val="0"/>
                <w:color w:val="auto"/>
                <w:sz w:val="24"/>
                <w:szCs w:val="24"/>
                <w:lang w:bidi="ar"/>
              </w:rPr>
            </w:pPr>
            <w:r>
              <w:rPr>
                <w:rFonts w:hint="default" w:ascii="Times New Roman" w:hAnsi="Times New Roman" w:cs="Times New Roman" w:eastAsiaTheme="minorEastAsia"/>
                <w:i w:val="0"/>
                <w:iCs w:val="0"/>
                <w:color w:val="auto"/>
                <w:sz w:val="24"/>
                <w:szCs w:val="24"/>
                <w:lang w:bidi="ar"/>
              </w:rPr>
              <w:t>约束性</w:t>
            </w:r>
          </w:p>
        </w:tc>
        <w:tc>
          <w:tcPr>
            <w:tcW w:w="712"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i w:val="0"/>
                <w:iCs w:val="0"/>
                <w:color w:val="auto"/>
                <w:sz w:val="24"/>
                <w:szCs w:val="24"/>
                <w:lang w:eastAsia="zh-CN" w:bidi="ar"/>
              </w:rPr>
            </w:pPr>
            <w:r>
              <w:rPr>
                <w:rFonts w:hint="default" w:ascii="Times New Roman" w:hAnsi="Times New Roman" w:cs="Times New Roman" w:eastAsiaTheme="minorEastAsia"/>
                <w:i w:val="0"/>
                <w:iCs w:val="0"/>
                <w:color w:val="auto"/>
                <w:sz w:val="24"/>
                <w:szCs w:val="24"/>
                <w:lang w:eastAsia="zh-CN" w:bidi="ar"/>
              </w:rPr>
              <w:t>区绿化市容局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40" w:hRule="atLeast"/>
          <w:jc w:val="center"/>
        </w:trPr>
        <w:tc>
          <w:tcPr>
            <w:tcW w:w="383" w:type="pct"/>
            <w:vMerge w:val="restar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i w:val="0"/>
                <w:iCs w:val="0"/>
                <w:color w:val="auto"/>
                <w:sz w:val="24"/>
                <w:szCs w:val="24"/>
                <w:lang w:bidi="ar"/>
              </w:rPr>
            </w:pPr>
            <w:r>
              <w:rPr>
                <w:rFonts w:hint="default" w:ascii="Times New Roman" w:hAnsi="Times New Roman" w:cs="Times New Roman" w:eastAsiaTheme="minorEastAsia"/>
                <w:i w:val="0"/>
                <w:iCs w:val="0"/>
                <w:color w:val="auto"/>
                <w:sz w:val="24"/>
                <w:szCs w:val="24"/>
                <w:lang w:bidi="ar"/>
              </w:rPr>
              <w:t>生态保护与安全</w:t>
            </w:r>
          </w:p>
        </w:tc>
        <w:tc>
          <w:tcPr>
            <w:tcW w:w="393"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
              </w:rPr>
            </w:pPr>
            <w:r>
              <w:rPr>
                <w:rFonts w:hint="default" w:ascii="Times New Roman" w:hAnsi="Times New Roman" w:cs="Times New Roman" w:eastAsiaTheme="minorEastAsia"/>
                <w:i w:val="0"/>
                <w:iCs w:val="0"/>
                <w:color w:val="auto"/>
                <w:sz w:val="24"/>
                <w:szCs w:val="24"/>
                <w:lang w:bidi="ar"/>
              </w:rPr>
              <w:t>1</w:t>
            </w:r>
            <w:r>
              <w:rPr>
                <w:rFonts w:hint="default" w:ascii="Times New Roman" w:hAnsi="Times New Roman" w:cs="Times New Roman" w:eastAsiaTheme="minorEastAsia"/>
                <w:i w:val="0"/>
                <w:iCs w:val="0"/>
                <w:color w:val="auto"/>
                <w:sz w:val="24"/>
                <w:szCs w:val="24"/>
                <w:lang w:val="en-US" w:eastAsia="zh-CN" w:bidi="ar"/>
              </w:rPr>
              <w:t>3</w:t>
            </w:r>
          </w:p>
        </w:tc>
        <w:tc>
          <w:tcPr>
            <w:tcW w:w="1640"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
              </w:rPr>
            </w:pPr>
            <w:r>
              <w:rPr>
                <w:rFonts w:hint="default" w:ascii="Times New Roman" w:hAnsi="Times New Roman" w:cs="Times New Roman" w:eastAsiaTheme="minorEastAsia"/>
                <w:i w:val="0"/>
                <w:iCs w:val="0"/>
                <w:color w:val="auto"/>
                <w:sz w:val="24"/>
                <w:szCs w:val="24"/>
                <w:lang w:bidi="ar"/>
              </w:rPr>
              <w:t>大陆自然岸线保有率（%）</w:t>
            </w:r>
          </w:p>
        </w:tc>
        <w:tc>
          <w:tcPr>
            <w:tcW w:w="754"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
              </w:rPr>
            </w:pPr>
            <w:r>
              <w:rPr>
                <w:rFonts w:hint="default" w:ascii="Times New Roman" w:hAnsi="Times New Roman" w:cs="Times New Roman" w:eastAsiaTheme="minorEastAsia"/>
                <w:i w:val="0"/>
                <w:iCs w:val="0"/>
                <w:color w:val="auto"/>
                <w:sz w:val="24"/>
                <w:szCs w:val="24"/>
                <w:lang w:val="en-US" w:eastAsia="zh-CN" w:bidi="ar"/>
              </w:rPr>
              <w:t>22.6</w:t>
            </w:r>
          </w:p>
        </w:tc>
        <w:tc>
          <w:tcPr>
            <w:tcW w:w="656"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highlight w:val="none"/>
                <w:lang w:val="en-US" w:eastAsia="zh-CN" w:bidi="ar-SA"/>
              </w:rPr>
            </w:pPr>
            <w:r>
              <w:rPr>
                <w:rFonts w:hint="default" w:ascii="Times New Roman" w:hAnsi="Times New Roman" w:cs="Times New Roman" w:eastAsiaTheme="minorEastAsia"/>
                <w:i w:val="0"/>
                <w:iCs w:val="0"/>
                <w:color w:val="auto"/>
                <w:sz w:val="24"/>
                <w:szCs w:val="24"/>
                <w:lang w:bidi="ar"/>
              </w:rPr>
              <w:t>完成</w:t>
            </w:r>
            <w:r>
              <w:rPr>
                <w:rFonts w:hint="default" w:ascii="Times New Roman" w:hAnsi="Times New Roman" w:cs="Times New Roman" w:eastAsiaTheme="minorEastAsia"/>
                <w:i w:val="0"/>
                <w:iCs w:val="0"/>
                <w:color w:val="auto"/>
                <w:sz w:val="24"/>
                <w:szCs w:val="24"/>
                <w:lang w:val="en-US" w:eastAsia="zh-CN" w:bidi="ar"/>
              </w:rPr>
              <w:t>市级下达目标</w:t>
            </w:r>
          </w:p>
        </w:tc>
        <w:tc>
          <w:tcPr>
            <w:tcW w:w="458"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
              </w:rPr>
            </w:pPr>
            <w:r>
              <w:rPr>
                <w:rFonts w:hint="default" w:ascii="Times New Roman" w:hAnsi="Times New Roman" w:cs="Times New Roman" w:eastAsiaTheme="minorEastAsia"/>
                <w:i w:val="0"/>
                <w:iCs w:val="0"/>
                <w:color w:val="auto"/>
                <w:sz w:val="24"/>
                <w:szCs w:val="24"/>
                <w:lang w:bidi="ar"/>
              </w:rPr>
              <w:t>约束性</w:t>
            </w:r>
          </w:p>
        </w:tc>
        <w:tc>
          <w:tcPr>
            <w:tcW w:w="712"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
              </w:rPr>
            </w:pPr>
            <w:r>
              <w:rPr>
                <w:rFonts w:hint="default" w:ascii="Times New Roman" w:hAnsi="Times New Roman" w:cs="Times New Roman" w:eastAsiaTheme="minorEastAsia"/>
                <w:i w:val="0"/>
                <w:iCs w:val="0"/>
                <w:color w:val="auto"/>
                <w:sz w:val="24"/>
                <w:szCs w:val="24"/>
                <w:lang w:eastAsia="zh-CN" w:bidi="ar"/>
              </w:rPr>
              <w:t>区水务局（海洋局）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40" w:hRule="atLeast"/>
          <w:jc w:val="center"/>
        </w:trPr>
        <w:tc>
          <w:tcPr>
            <w:tcW w:w="383" w:type="pct"/>
            <w:vMerge w:val="continue"/>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i w:val="0"/>
                <w:iCs w:val="0"/>
                <w:color w:val="auto"/>
                <w:sz w:val="24"/>
                <w:szCs w:val="24"/>
                <w:lang w:bidi="ar"/>
              </w:rPr>
            </w:pPr>
          </w:p>
        </w:tc>
        <w:tc>
          <w:tcPr>
            <w:tcW w:w="393"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
              </w:rPr>
            </w:pPr>
            <w:r>
              <w:rPr>
                <w:rFonts w:hint="default" w:ascii="Times New Roman" w:hAnsi="Times New Roman" w:cs="Times New Roman" w:eastAsiaTheme="minorEastAsia"/>
                <w:i w:val="0"/>
                <w:iCs w:val="0"/>
                <w:color w:val="auto"/>
                <w:sz w:val="24"/>
                <w:szCs w:val="24"/>
                <w:lang w:val="en-US" w:eastAsia="zh-CN" w:bidi="ar"/>
              </w:rPr>
              <w:t>14</w:t>
            </w:r>
          </w:p>
        </w:tc>
        <w:tc>
          <w:tcPr>
            <w:tcW w:w="1640"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SA"/>
              </w:rPr>
            </w:pPr>
            <w:r>
              <w:rPr>
                <w:rFonts w:hint="default" w:ascii="Times New Roman" w:hAnsi="Times New Roman" w:cs="Times New Roman" w:eastAsiaTheme="minorEastAsia"/>
                <w:i w:val="0"/>
                <w:iCs w:val="0"/>
                <w:color w:val="auto"/>
                <w:sz w:val="24"/>
                <w:szCs w:val="24"/>
                <w:lang w:val="en-US" w:eastAsia="zh-CN" w:bidi="ar"/>
              </w:rPr>
              <w:t>建成区</w:t>
            </w:r>
            <w:r>
              <w:rPr>
                <w:rFonts w:hint="default" w:ascii="Times New Roman" w:hAnsi="Times New Roman" w:cs="Times New Roman" w:eastAsiaTheme="minorEastAsia"/>
                <w:i w:val="0"/>
                <w:iCs w:val="0"/>
                <w:color w:val="auto"/>
                <w:sz w:val="24"/>
                <w:szCs w:val="24"/>
                <w:lang w:bidi="ar"/>
              </w:rPr>
              <w:t>人均公园绿地面积（平方米/人）</w:t>
            </w:r>
          </w:p>
        </w:tc>
        <w:tc>
          <w:tcPr>
            <w:tcW w:w="754"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
              </w:rPr>
            </w:pPr>
            <w:r>
              <w:rPr>
                <w:rFonts w:hint="default" w:ascii="Times New Roman" w:hAnsi="Times New Roman" w:cs="Times New Roman" w:eastAsiaTheme="minorEastAsia"/>
                <w:i w:val="0"/>
                <w:iCs w:val="0"/>
                <w:color w:val="auto"/>
                <w:sz w:val="24"/>
                <w:szCs w:val="24"/>
                <w:lang w:val="en-US" w:eastAsia="zh-CN" w:bidi="ar"/>
              </w:rPr>
              <w:t>17.22</w:t>
            </w:r>
          </w:p>
        </w:tc>
        <w:tc>
          <w:tcPr>
            <w:tcW w:w="656"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SA"/>
              </w:rPr>
            </w:pPr>
            <w:r>
              <w:rPr>
                <w:rFonts w:hint="default" w:ascii="Times New Roman" w:hAnsi="Times New Roman" w:cs="Times New Roman" w:eastAsiaTheme="minorEastAsia"/>
                <w:i w:val="0"/>
                <w:iCs w:val="0"/>
                <w:color w:val="auto"/>
                <w:sz w:val="24"/>
                <w:szCs w:val="24"/>
                <w:lang w:val="en-US" w:eastAsia="zh-CN"/>
              </w:rPr>
              <w:t>18</w:t>
            </w:r>
          </w:p>
        </w:tc>
        <w:tc>
          <w:tcPr>
            <w:tcW w:w="458"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
              </w:rPr>
            </w:pPr>
            <w:r>
              <w:rPr>
                <w:rFonts w:hint="default" w:ascii="Times New Roman" w:hAnsi="Times New Roman" w:cs="Times New Roman" w:eastAsiaTheme="minorEastAsia"/>
                <w:i w:val="0"/>
                <w:iCs w:val="0"/>
                <w:color w:val="auto"/>
                <w:sz w:val="24"/>
                <w:szCs w:val="24"/>
                <w:lang w:bidi="ar"/>
              </w:rPr>
              <w:t>约束性</w:t>
            </w:r>
          </w:p>
        </w:tc>
        <w:tc>
          <w:tcPr>
            <w:tcW w:w="712"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
              </w:rPr>
            </w:pPr>
            <w:r>
              <w:rPr>
                <w:rFonts w:hint="default" w:ascii="Times New Roman" w:hAnsi="Times New Roman" w:cs="Times New Roman" w:eastAsiaTheme="minorEastAsia"/>
                <w:i w:val="0"/>
                <w:iCs w:val="0"/>
                <w:color w:val="auto"/>
                <w:sz w:val="24"/>
                <w:szCs w:val="24"/>
                <w:lang w:eastAsia="zh-CN" w:bidi="ar"/>
              </w:rPr>
              <w:t>区绿化市容局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40" w:hRule="atLeast"/>
          <w:jc w:val="center"/>
        </w:trPr>
        <w:tc>
          <w:tcPr>
            <w:tcW w:w="383" w:type="pct"/>
            <w:vMerge w:val="continue"/>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i w:val="0"/>
                <w:iCs w:val="0"/>
                <w:color w:val="auto"/>
                <w:sz w:val="24"/>
                <w:szCs w:val="24"/>
                <w:lang w:bidi="ar"/>
              </w:rPr>
            </w:pPr>
          </w:p>
        </w:tc>
        <w:tc>
          <w:tcPr>
            <w:tcW w:w="393"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
              </w:rPr>
            </w:pPr>
            <w:r>
              <w:rPr>
                <w:rFonts w:hint="default" w:ascii="Times New Roman" w:hAnsi="Times New Roman" w:cs="Times New Roman" w:eastAsiaTheme="minorEastAsia"/>
                <w:i w:val="0"/>
                <w:iCs w:val="0"/>
                <w:color w:val="auto"/>
                <w:sz w:val="24"/>
                <w:szCs w:val="24"/>
                <w:lang w:val="en-US" w:eastAsia="zh-CN" w:bidi="ar"/>
              </w:rPr>
              <w:t>15</w:t>
            </w:r>
          </w:p>
        </w:tc>
        <w:tc>
          <w:tcPr>
            <w:tcW w:w="1640"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SA"/>
              </w:rPr>
            </w:pPr>
            <w:r>
              <w:rPr>
                <w:rFonts w:hint="default" w:ascii="Times New Roman" w:hAnsi="Times New Roman" w:cs="Times New Roman" w:eastAsiaTheme="minorEastAsia"/>
                <w:i w:val="0"/>
                <w:iCs w:val="0"/>
                <w:color w:val="auto"/>
                <w:sz w:val="24"/>
                <w:szCs w:val="24"/>
              </w:rPr>
              <w:t>生态</w:t>
            </w:r>
            <w:r>
              <w:rPr>
                <w:rFonts w:hint="default" w:ascii="Times New Roman" w:hAnsi="Times New Roman" w:cs="Times New Roman" w:eastAsiaTheme="minorEastAsia"/>
                <w:i w:val="0"/>
                <w:iCs w:val="0"/>
                <w:color w:val="auto"/>
                <w:sz w:val="24"/>
                <w:szCs w:val="24"/>
                <w:lang w:val="en-US" w:eastAsia="zh-CN"/>
              </w:rPr>
              <w:t>保护</w:t>
            </w:r>
            <w:r>
              <w:rPr>
                <w:rFonts w:hint="default" w:ascii="Times New Roman" w:hAnsi="Times New Roman" w:cs="Times New Roman" w:eastAsiaTheme="minorEastAsia"/>
                <w:i w:val="0"/>
                <w:iCs w:val="0"/>
                <w:color w:val="auto"/>
                <w:sz w:val="24"/>
                <w:szCs w:val="24"/>
              </w:rPr>
              <w:t>指数（E</w:t>
            </w:r>
            <w:r>
              <w:rPr>
                <w:rFonts w:hint="default" w:ascii="Times New Roman" w:hAnsi="Times New Roman" w:cs="Times New Roman" w:eastAsiaTheme="minorEastAsia"/>
                <w:i w:val="0"/>
                <w:iCs w:val="0"/>
                <w:color w:val="auto"/>
                <w:sz w:val="24"/>
                <w:szCs w:val="24"/>
                <w:lang w:val="en-US" w:eastAsia="zh-CN"/>
              </w:rPr>
              <w:t>C</w:t>
            </w:r>
            <w:r>
              <w:rPr>
                <w:rFonts w:hint="default" w:ascii="Times New Roman" w:hAnsi="Times New Roman" w:cs="Times New Roman" w:eastAsiaTheme="minorEastAsia"/>
                <w:i w:val="0"/>
                <w:iCs w:val="0"/>
                <w:color w:val="auto"/>
                <w:sz w:val="24"/>
                <w:szCs w:val="24"/>
              </w:rPr>
              <w:t>I）</w:t>
            </w:r>
          </w:p>
        </w:tc>
        <w:tc>
          <w:tcPr>
            <w:tcW w:w="754"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
              </w:rPr>
            </w:pPr>
            <w:r>
              <w:rPr>
                <w:rFonts w:hint="default" w:ascii="Times New Roman" w:hAnsi="Times New Roman" w:cs="Times New Roman" w:eastAsiaTheme="minorEastAsia"/>
                <w:i w:val="0"/>
                <w:iCs w:val="0"/>
                <w:color w:val="auto"/>
                <w:sz w:val="24"/>
                <w:szCs w:val="24"/>
                <w:lang w:val="en-US" w:eastAsia="zh-CN" w:bidi="ar"/>
              </w:rPr>
              <w:t>--</w:t>
            </w:r>
          </w:p>
        </w:tc>
        <w:tc>
          <w:tcPr>
            <w:tcW w:w="656"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SA"/>
              </w:rPr>
            </w:pPr>
            <w:r>
              <w:rPr>
                <w:rFonts w:hint="default" w:ascii="Times New Roman" w:hAnsi="Times New Roman" w:cs="Times New Roman" w:eastAsiaTheme="minorEastAsia"/>
                <w:i w:val="0"/>
                <w:iCs w:val="0"/>
                <w:color w:val="auto"/>
                <w:sz w:val="24"/>
                <w:szCs w:val="24"/>
                <w:lang w:bidi="ar"/>
              </w:rPr>
              <w:t>完成</w:t>
            </w:r>
            <w:r>
              <w:rPr>
                <w:rFonts w:hint="default" w:ascii="Times New Roman" w:hAnsi="Times New Roman" w:cs="Times New Roman" w:eastAsiaTheme="minorEastAsia"/>
                <w:i w:val="0"/>
                <w:iCs w:val="0"/>
                <w:color w:val="auto"/>
                <w:sz w:val="24"/>
                <w:szCs w:val="24"/>
                <w:lang w:val="en-US" w:eastAsia="zh-CN" w:bidi="ar"/>
              </w:rPr>
              <w:t>市级下达目标</w:t>
            </w:r>
          </w:p>
        </w:tc>
        <w:tc>
          <w:tcPr>
            <w:tcW w:w="458"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
              </w:rPr>
            </w:pPr>
            <w:r>
              <w:rPr>
                <w:rFonts w:hint="default" w:ascii="Times New Roman" w:hAnsi="Times New Roman" w:cs="Times New Roman" w:eastAsiaTheme="minorEastAsia"/>
                <w:i w:val="0"/>
                <w:iCs w:val="0"/>
                <w:color w:val="auto"/>
                <w:sz w:val="24"/>
                <w:szCs w:val="24"/>
                <w:lang w:bidi="ar"/>
              </w:rPr>
              <w:t>预期性</w:t>
            </w:r>
          </w:p>
        </w:tc>
        <w:tc>
          <w:tcPr>
            <w:tcW w:w="712"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
              </w:rPr>
            </w:pPr>
            <w:r>
              <w:rPr>
                <w:rFonts w:hint="default" w:ascii="Times New Roman" w:hAnsi="Times New Roman" w:cs="Times New Roman" w:eastAsiaTheme="minorEastAsia"/>
                <w:i w:val="0"/>
                <w:iCs w:val="0"/>
                <w:color w:val="auto"/>
                <w:sz w:val="24"/>
                <w:szCs w:val="24"/>
                <w:lang w:eastAsia="zh-CN" w:bidi="ar"/>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40" w:hRule="atLeast"/>
          <w:jc w:val="center"/>
        </w:trPr>
        <w:tc>
          <w:tcPr>
            <w:tcW w:w="383"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i w:val="0"/>
                <w:iCs w:val="0"/>
                <w:color w:val="auto"/>
                <w:sz w:val="24"/>
                <w:szCs w:val="24"/>
                <w:lang w:bidi="ar"/>
              </w:rPr>
            </w:pPr>
            <w:r>
              <w:rPr>
                <w:rFonts w:hint="default" w:ascii="Times New Roman" w:hAnsi="Times New Roman" w:cs="Times New Roman" w:eastAsiaTheme="minorEastAsia"/>
                <w:i w:val="0"/>
                <w:iCs w:val="0"/>
                <w:color w:val="auto"/>
                <w:sz w:val="24"/>
                <w:szCs w:val="24"/>
                <w:lang w:bidi="ar"/>
              </w:rPr>
              <w:t>美丽奉贤建设</w:t>
            </w:r>
          </w:p>
        </w:tc>
        <w:tc>
          <w:tcPr>
            <w:tcW w:w="393"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
              </w:rPr>
            </w:pPr>
            <w:r>
              <w:rPr>
                <w:rFonts w:hint="default" w:ascii="Times New Roman" w:hAnsi="Times New Roman" w:cs="Times New Roman" w:eastAsiaTheme="minorEastAsia"/>
                <w:i w:val="0"/>
                <w:iCs w:val="0"/>
                <w:color w:val="auto"/>
                <w:sz w:val="24"/>
                <w:szCs w:val="24"/>
                <w:lang w:val="en-US" w:eastAsia="zh-CN" w:bidi="ar"/>
              </w:rPr>
              <w:t>16</w:t>
            </w:r>
          </w:p>
        </w:tc>
        <w:tc>
          <w:tcPr>
            <w:tcW w:w="1640"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SA"/>
              </w:rPr>
            </w:pPr>
            <w:r>
              <w:rPr>
                <w:rFonts w:hint="default" w:ascii="Times New Roman" w:hAnsi="Times New Roman" w:cs="Times New Roman" w:eastAsiaTheme="minorEastAsia"/>
                <w:i w:val="0"/>
                <w:iCs w:val="0"/>
                <w:color w:val="auto"/>
                <w:sz w:val="24"/>
                <w:szCs w:val="24"/>
              </w:rPr>
              <w:t>公众对生态环境质量满意程度</w:t>
            </w:r>
            <w:r>
              <w:rPr>
                <w:rFonts w:hint="default" w:ascii="Times New Roman" w:hAnsi="Times New Roman" w:cs="Times New Roman" w:eastAsiaTheme="minorEastAsia"/>
                <w:i w:val="0"/>
                <w:iCs w:val="0"/>
                <w:color w:val="auto"/>
                <w:sz w:val="24"/>
                <w:szCs w:val="24"/>
                <w:lang w:bidi="ar"/>
              </w:rPr>
              <w:t>（%）</w:t>
            </w:r>
          </w:p>
        </w:tc>
        <w:tc>
          <w:tcPr>
            <w:tcW w:w="754"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
              </w:rPr>
            </w:pPr>
            <w:r>
              <w:rPr>
                <w:rFonts w:hint="default" w:ascii="Times New Roman" w:hAnsi="Times New Roman" w:cs="Times New Roman" w:eastAsiaTheme="minorEastAsia"/>
                <w:i w:val="0"/>
                <w:iCs w:val="0"/>
                <w:color w:val="auto"/>
                <w:sz w:val="24"/>
                <w:szCs w:val="24"/>
                <w:lang w:val="en-US" w:eastAsia="zh-CN" w:bidi="ar"/>
              </w:rPr>
              <w:t>83.19</w:t>
            </w:r>
          </w:p>
        </w:tc>
        <w:tc>
          <w:tcPr>
            <w:tcW w:w="656"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SA"/>
              </w:rPr>
            </w:pPr>
            <w:r>
              <w:rPr>
                <w:rFonts w:hint="default" w:ascii="Times New Roman" w:hAnsi="Times New Roman" w:cs="Times New Roman" w:eastAsiaTheme="minorEastAsia"/>
                <w:i w:val="0"/>
                <w:iCs w:val="0"/>
                <w:color w:val="auto"/>
                <w:sz w:val="24"/>
                <w:szCs w:val="24"/>
              </w:rPr>
              <w:t>85左右</w:t>
            </w:r>
          </w:p>
        </w:tc>
        <w:tc>
          <w:tcPr>
            <w:tcW w:w="458"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
              </w:rPr>
            </w:pPr>
            <w:r>
              <w:rPr>
                <w:rFonts w:hint="default" w:ascii="Times New Roman" w:hAnsi="Times New Roman" w:cs="Times New Roman" w:eastAsiaTheme="minorEastAsia"/>
                <w:i w:val="0"/>
                <w:iCs w:val="0"/>
                <w:color w:val="auto"/>
                <w:sz w:val="24"/>
                <w:szCs w:val="24"/>
                <w:lang w:bidi="ar"/>
              </w:rPr>
              <w:t>预期性</w:t>
            </w:r>
          </w:p>
        </w:tc>
        <w:tc>
          <w:tcPr>
            <w:tcW w:w="712" w:type="pct"/>
            <w:tcBorders>
              <w:tl2br w:val="nil"/>
              <w:tr2bl w:val="nil"/>
            </w:tcBorders>
            <w:shd w:val="clear" w:color="auto" w:fill="FFFFFF"/>
            <w:vAlign w:val="center"/>
          </w:tcPr>
          <w:p>
            <w:pPr>
              <w:pStyle w:val="41"/>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i w:val="0"/>
                <w:iCs w:val="0"/>
                <w:color w:val="auto"/>
                <w:kern w:val="0"/>
                <w:sz w:val="24"/>
                <w:szCs w:val="24"/>
                <w:lang w:val="en-US" w:eastAsia="zh-CN" w:bidi="ar"/>
              </w:rPr>
            </w:pPr>
            <w:r>
              <w:rPr>
                <w:rFonts w:hint="default" w:ascii="Times New Roman" w:hAnsi="Times New Roman" w:cs="Times New Roman" w:eastAsiaTheme="minorEastAsia"/>
                <w:i w:val="0"/>
                <w:iCs w:val="0"/>
                <w:color w:val="auto"/>
                <w:sz w:val="24"/>
                <w:szCs w:val="24"/>
                <w:lang w:eastAsia="zh-CN" w:bidi="ar"/>
              </w:rPr>
              <w:t>区生态环境局</w:t>
            </w:r>
          </w:p>
        </w:tc>
      </w:tr>
    </w:tbl>
    <w:p>
      <w:pPr>
        <w:ind w:left="0" w:leftChars="0" w:firstLine="0" w:firstLineChars="0"/>
        <w:rPr>
          <w:rFonts w:hint="default" w:ascii="Times New Roman" w:hAnsi="Times New Roman" w:cs="Times New Roman"/>
          <w:b/>
          <w:bCs/>
          <w:color w:val="auto"/>
          <w:lang w:val="en-US" w:eastAsia="zh-CN"/>
        </w:rPr>
      </w:pPr>
    </w:p>
    <w:p>
      <w:pPr>
        <w:ind w:left="0" w:leftChars="0" w:firstLine="0" w:firstLineChars="0"/>
        <w:jc w:val="center"/>
        <w:rPr>
          <w:rFonts w:hint="default" w:ascii="Times New Roman" w:hAnsi="Times New Roman" w:cs="Times New Roman"/>
          <w:b/>
          <w:bCs/>
          <w:color w:val="auto"/>
          <w:lang w:val="en-US" w:eastAsia="zh-CN"/>
        </w:rPr>
        <w:sectPr>
          <w:pgSz w:w="11906" w:h="16838"/>
          <w:pgMar w:top="1440" w:right="1803" w:bottom="1440" w:left="1803" w:header="851" w:footer="992" w:gutter="0"/>
          <w:cols w:space="0" w:num="1"/>
          <w:rtlGutter w:val="0"/>
          <w:docGrid w:type="lines" w:linePitch="415" w:charSpace="0"/>
        </w:sectPr>
      </w:pPr>
    </w:p>
    <w:p>
      <w:pPr>
        <w:pStyle w:val="2"/>
        <w:pageBreakBefore w:val="0"/>
        <w:numPr>
          <w:ilvl w:val="0"/>
          <w:numId w:val="0"/>
        </w:numPr>
        <w:kinsoku/>
        <w:wordWrap/>
        <w:overflowPunct/>
        <w:topLinePunct w:val="0"/>
        <w:autoSpaceDE/>
        <w:autoSpaceDN/>
        <w:bidi w:val="0"/>
        <w:adjustRightInd/>
        <w:snapToGrid/>
        <w:spacing w:before="156" w:after="156" w:line="560" w:lineRule="exact"/>
        <w:ind w:leftChars="0"/>
        <w:textAlignment w:val="auto"/>
        <w:rPr>
          <w:rFonts w:hint="default" w:ascii="Times New Roman" w:hAnsi="Times New Roman" w:cs="Times New Roman"/>
          <w:color w:val="auto"/>
          <w:sz w:val="30"/>
          <w:szCs w:val="30"/>
          <w:lang w:val="en-US" w:eastAsia="zh-CN"/>
        </w:rPr>
      </w:pPr>
      <w:r>
        <w:rPr>
          <w:rFonts w:hint="default" w:ascii="Times New Roman" w:hAnsi="Times New Roman" w:cs="Times New Roman"/>
          <w:color w:val="auto"/>
          <w:sz w:val="30"/>
          <w:szCs w:val="30"/>
          <w:lang w:val="en-US" w:eastAsia="zh-CN"/>
        </w:rPr>
        <w:t>附件二：</w:t>
      </w:r>
    </w:p>
    <w:p>
      <w:pPr>
        <w:ind w:left="0" w:leftChars="0" w:firstLine="0" w:firstLineChars="0"/>
        <w:jc w:val="center"/>
        <w:rPr>
          <w:rFonts w:hint="default" w:ascii="Times New Roman" w:hAnsi="Times New Roman" w:eastAsia="黑体" w:cs="Times New Roman"/>
          <w:b w:val="0"/>
          <w:bCs w:val="0"/>
          <w:color w:val="auto"/>
          <w:lang w:val="en-US" w:eastAsia="zh-CN"/>
        </w:rPr>
      </w:pPr>
      <w:r>
        <w:rPr>
          <w:rFonts w:hint="default" w:ascii="Times New Roman" w:hAnsi="Times New Roman" w:eastAsia="黑体" w:cs="Times New Roman"/>
          <w:b w:val="0"/>
          <w:bCs w:val="0"/>
          <w:color w:val="auto"/>
          <w:lang w:val="en-US" w:eastAsia="zh-CN"/>
        </w:rPr>
        <w:t>表2  “十五五”生态环境重点项目</w:t>
      </w:r>
    </w:p>
    <w:tbl>
      <w:tblPr>
        <w:tblStyle w:val="26"/>
        <w:tblW w:w="47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810"/>
        <w:gridCol w:w="5837"/>
        <w:gridCol w:w="1957"/>
        <w:gridCol w:w="3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1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cs="Times New Roman" w:eastAsiaTheme="minorEastAsia"/>
                <w:b/>
                <w:bCs/>
                <w:color w:val="auto"/>
                <w:sz w:val="24"/>
                <w:szCs w:val="24"/>
                <w:highlight w:val="none"/>
                <w:vertAlign w:val="baseline"/>
                <w:lang w:val="en-US" w:eastAsia="zh-CN"/>
              </w:rPr>
            </w:pPr>
            <w:r>
              <w:rPr>
                <w:rFonts w:hint="default" w:ascii="Times New Roman" w:hAnsi="Times New Roman" w:cs="Times New Roman" w:eastAsiaTheme="minorEastAsia"/>
                <w:b/>
                <w:bCs/>
                <w:i w:val="0"/>
                <w:iCs w:val="0"/>
                <w:color w:val="auto"/>
                <w:kern w:val="0"/>
                <w:sz w:val="24"/>
                <w:szCs w:val="24"/>
                <w:highlight w:val="none"/>
                <w:u w:val="none"/>
                <w:lang w:val="en-US" w:eastAsia="zh-CN" w:bidi="ar"/>
              </w:rPr>
              <w:t>序号</w:t>
            </w:r>
          </w:p>
        </w:tc>
        <w:tc>
          <w:tcPr>
            <w:tcW w:w="670"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b/>
                <w:bCs/>
                <w:color w:val="auto"/>
                <w:sz w:val="24"/>
                <w:szCs w:val="24"/>
                <w:highlight w:val="none"/>
                <w:vertAlign w:val="baseline"/>
                <w:lang w:val="en-US" w:eastAsia="zh-CN"/>
              </w:rPr>
            </w:pPr>
            <w:r>
              <w:rPr>
                <w:rFonts w:hint="default" w:ascii="Times New Roman" w:hAnsi="Times New Roman" w:cs="Times New Roman" w:eastAsiaTheme="minorEastAsia"/>
                <w:b/>
                <w:bCs/>
                <w:color w:val="auto"/>
                <w:sz w:val="24"/>
                <w:szCs w:val="24"/>
                <w:highlight w:val="none"/>
                <w:vertAlign w:val="baseline"/>
                <w:lang w:val="en-US" w:eastAsia="zh-CN"/>
              </w:rPr>
              <w:t>领域</w:t>
            </w:r>
          </w:p>
        </w:tc>
        <w:tc>
          <w:tcPr>
            <w:tcW w:w="2160"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b/>
                <w:bCs/>
                <w:color w:val="auto"/>
                <w:sz w:val="24"/>
                <w:szCs w:val="24"/>
                <w:highlight w:val="none"/>
                <w:vertAlign w:val="baseline"/>
                <w:lang w:val="en-US" w:eastAsia="zh-CN"/>
              </w:rPr>
            </w:pPr>
            <w:r>
              <w:rPr>
                <w:rFonts w:hint="default" w:ascii="Times New Roman" w:hAnsi="Times New Roman" w:cs="Times New Roman" w:eastAsiaTheme="minorEastAsia"/>
                <w:b/>
                <w:bCs/>
                <w:i w:val="0"/>
                <w:iCs w:val="0"/>
                <w:color w:val="auto"/>
                <w:kern w:val="0"/>
                <w:sz w:val="24"/>
                <w:szCs w:val="24"/>
                <w:highlight w:val="none"/>
                <w:u w:val="none"/>
                <w:lang w:val="en-US" w:eastAsia="zh-CN" w:bidi="ar"/>
              </w:rPr>
              <w:t>任务措施</w:t>
            </w:r>
          </w:p>
        </w:tc>
        <w:tc>
          <w:tcPr>
            <w:tcW w:w="724"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b/>
                <w:bCs/>
                <w:i w:val="0"/>
                <w:iCs w:val="0"/>
                <w:color w:val="auto"/>
                <w:kern w:val="0"/>
                <w:sz w:val="24"/>
                <w:szCs w:val="24"/>
                <w:highlight w:val="none"/>
                <w:u w:val="none"/>
                <w:lang w:val="en-US" w:eastAsia="zh-CN" w:bidi="ar"/>
              </w:rPr>
            </w:pPr>
            <w:r>
              <w:rPr>
                <w:rFonts w:hint="default" w:ascii="Times New Roman" w:hAnsi="Times New Roman" w:cs="Times New Roman" w:eastAsiaTheme="minorEastAsia"/>
                <w:b/>
                <w:bCs/>
                <w:i w:val="0"/>
                <w:iCs w:val="0"/>
                <w:color w:val="auto"/>
                <w:kern w:val="0"/>
                <w:sz w:val="24"/>
                <w:szCs w:val="24"/>
                <w:highlight w:val="none"/>
                <w:u w:val="none"/>
                <w:lang w:val="en-US" w:eastAsia="zh-CN" w:bidi="ar"/>
              </w:rPr>
              <w:t>节点</w:t>
            </w:r>
          </w:p>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b/>
                <w:bCs/>
                <w:color w:val="auto"/>
                <w:sz w:val="24"/>
                <w:szCs w:val="24"/>
                <w:highlight w:val="none"/>
                <w:vertAlign w:val="baseline"/>
                <w:lang w:val="en-US" w:eastAsia="zh-CN"/>
              </w:rPr>
            </w:pPr>
            <w:r>
              <w:rPr>
                <w:rFonts w:hint="default" w:ascii="Times New Roman" w:hAnsi="Times New Roman" w:cs="Times New Roman" w:eastAsiaTheme="minorEastAsia"/>
                <w:b/>
                <w:bCs/>
                <w:i w:val="0"/>
                <w:iCs w:val="0"/>
                <w:color w:val="auto"/>
                <w:kern w:val="0"/>
                <w:sz w:val="24"/>
                <w:szCs w:val="24"/>
                <w:highlight w:val="none"/>
                <w:u w:val="none"/>
                <w:lang w:val="en-US" w:eastAsia="zh-CN" w:bidi="ar"/>
              </w:rPr>
              <w:t>要求</w:t>
            </w:r>
          </w:p>
        </w:tc>
        <w:tc>
          <w:tcPr>
            <w:tcW w:w="1131"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b/>
                <w:bCs/>
                <w:color w:val="auto"/>
                <w:sz w:val="24"/>
                <w:szCs w:val="24"/>
                <w:highlight w:val="none"/>
                <w:vertAlign w:val="baseline"/>
                <w:lang w:val="en-US" w:eastAsia="zh-CN"/>
              </w:rPr>
            </w:pPr>
            <w:r>
              <w:rPr>
                <w:rFonts w:hint="default" w:ascii="Times New Roman" w:hAnsi="Times New Roman" w:cs="Times New Roman" w:eastAsiaTheme="minorEastAsia"/>
                <w:b/>
                <w:bCs/>
                <w:i w:val="0"/>
                <w:iCs w:val="0"/>
                <w:color w:val="auto"/>
                <w:kern w:val="0"/>
                <w:sz w:val="24"/>
                <w:szCs w:val="24"/>
                <w:highlight w:val="none"/>
                <w:u w:val="none"/>
                <w:lang w:val="en-US" w:eastAsia="zh-CN"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eastAsia" w:ascii="Times New Roman" w:hAnsi="Times New Roman" w:cs="Times New Roman" w:eastAsiaTheme="minorEastAsia"/>
                <w:i w:val="0"/>
                <w:iCs w:val="0"/>
                <w:color w:val="auto"/>
                <w:kern w:val="0"/>
                <w:sz w:val="24"/>
                <w:szCs w:val="24"/>
                <w:highlight w:val="none"/>
                <w:u w:val="none"/>
                <w:lang w:val="en-US" w:eastAsia="zh-CN" w:bidi="ar"/>
              </w:rPr>
              <w:t>1</w:t>
            </w:r>
          </w:p>
        </w:tc>
        <w:tc>
          <w:tcPr>
            <w:tcW w:w="670" w:type="pct"/>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eastAsiaTheme="minorEastAsia"/>
                <w:color w:val="auto"/>
                <w:sz w:val="24"/>
                <w:szCs w:val="24"/>
                <w:highlight w:val="none"/>
                <w:vertAlign w:val="baseline"/>
                <w:lang w:val="en-US" w:eastAsia="zh-CN"/>
              </w:rPr>
            </w:pPr>
            <w:r>
              <w:rPr>
                <w:rFonts w:hint="default" w:ascii="Times New Roman" w:hAnsi="Times New Roman" w:cs="Times New Roman" w:eastAsiaTheme="minorEastAsia"/>
                <w:color w:val="auto"/>
                <w:sz w:val="24"/>
                <w:szCs w:val="24"/>
                <w:highlight w:val="none"/>
                <w:vertAlign w:val="baseline"/>
                <w:lang w:val="en-US" w:eastAsia="zh-CN"/>
              </w:rPr>
              <w:t>加快发展方式转型，实现绿色低碳高质量发展</w:t>
            </w:r>
          </w:p>
        </w:tc>
        <w:tc>
          <w:tcPr>
            <w:tcW w:w="2160"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left"/>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eastAsiaTheme="minorEastAsia"/>
                <w:i w:val="0"/>
                <w:iCs w:val="0"/>
                <w:color w:val="auto"/>
                <w:kern w:val="0"/>
                <w:sz w:val="24"/>
                <w:szCs w:val="24"/>
                <w:highlight w:val="none"/>
                <w:u w:val="none"/>
                <w:lang w:val="en-US" w:eastAsia="zh-CN" w:bidi="ar"/>
              </w:rPr>
              <w:t>编制区级温室气体排放清单。</w:t>
            </w:r>
          </w:p>
        </w:tc>
        <w:tc>
          <w:tcPr>
            <w:tcW w:w="72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eastAsiaTheme="minorEastAsia"/>
                <w:i w:val="0"/>
                <w:iCs w:val="0"/>
                <w:color w:val="auto"/>
                <w:kern w:val="0"/>
                <w:sz w:val="24"/>
                <w:szCs w:val="24"/>
                <w:highlight w:val="none"/>
                <w:u w:val="none"/>
                <w:lang w:val="en-US" w:eastAsia="zh-CN" w:bidi="ar"/>
              </w:rPr>
              <w:t>每年</w:t>
            </w:r>
          </w:p>
        </w:tc>
        <w:tc>
          <w:tcPr>
            <w:tcW w:w="11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区生态环境局、区统计局、区发展改革委、相关行业主管部门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eastAsia" w:ascii="Times New Roman" w:hAnsi="Times New Roman" w:cs="Times New Roman" w:eastAsiaTheme="minorEastAsia"/>
                <w:i w:val="0"/>
                <w:iCs w:val="0"/>
                <w:color w:val="auto"/>
                <w:kern w:val="0"/>
                <w:sz w:val="24"/>
                <w:szCs w:val="24"/>
                <w:highlight w:val="none"/>
                <w:u w:val="none"/>
                <w:lang w:val="en-US" w:eastAsia="zh-CN" w:bidi="ar"/>
              </w:rPr>
              <w:t>2</w:t>
            </w:r>
          </w:p>
        </w:tc>
        <w:tc>
          <w:tcPr>
            <w:tcW w:w="670" w:type="pct"/>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eastAsiaTheme="minorEastAsia"/>
                <w:color w:val="auto"/>
                <w:sz w:val="24"/>
                <w:szCs w:val="24"/>
                <w:highlight w:val="none"/>
                <w:vertAlign w:val="baseline"/>
                <w:lang w:val="en-US" w:eastAsia="zh-CN"/>
              </w:rPr>
            </w:pPr>
          </w:p>
        </w:tc>
        <w:tc>
          <w:tcPr>
            <w:tcW w:w="2160"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left"/>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推进产业结构调整（调出150户低效企业）。</w:t>
            </w:r>
          </w:p>
        </w:tc>
        <w:tc>
          <w:tcPr>
            <w:tcW w:w="72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2030年完成</w:t>
            </w:r>
          </w:p>
        </w:tc>
        <w:tc>
          <w:tcPr>
            <w:tcW w:w="11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区经委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2" w:type="pct"/>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eastAsia" w:ascii="Times New Roman" w:hAnsi="Times New Roman" w:cs="Times New Roman" w:eastAsiaTheme="minorEastAsia"/>
                <w:i w:val="0"/>
                <w:iCs w:val="0"/>
                <w:color w:val="auto"/>
                <w:kern w:val="0"/>
                <w:sz w:val="24"/>
                <w:szCs w:val="24"/>
                <w:highlight w:val="none"/>
                <w:u w:val="none"/>
                <w:lang w:val="en-US" w:eastAsia="zh-CN" w:bidi="ar"/>
              </w:rPr>
              <w:t>3</w:t>
            </w:r>
          </w:p>
        </w:tc>
        <w:tc>
          <w:tcPr>
            <w:tcW w:w="670" w:type="pct"/>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eastAsiaTheme="minorEastAsia"/>
                <w:color w:val="auto"/>
                <w:sz w:val="24"/>
                <w:szCs w:val="24"/>
                <w:highlight w:val="none"/>
                <w:vertAlign w:val="baseline"/>
                <w:lang w:val="en-US" w:eastAsia="zh-CN"/>
              </w:rPr>
            </w:pPr>
          </w:p>
        </w:tc>
        <w:tc>
          <w:tcPr>
            <w:tcW w:w="2160"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left"/>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建设3家绿色制造示范单位，形成1条具有代表性的绿色供应链。</w:t>
            </w:r>
          </w:p>
        </w:tc>
        <w:tc>
          <w:tcPr>
            <w:tcW w:w="72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2030年完成</w:t>
            </w:r>
          </w:p>
        </w:tc>
        <w:tc>
          <w:tcPr>
            <w:tcW w:w="11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区经委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eastAsia" w:ascii="Times New Roman" w:hAnsi="Times New Roman" w:cs="Times New Roman" w:eastAsiaTheme="minorEastAsia"/>
                <w:i w:val="0"/>
                <w:iCs w:val="0"/>
                <w:color w:val="auto"/>
                <w:kern w:val="0"/>
                <w:sz w:val="24"/>
                <w:szCs w:val="24"/>
                <w:highlight w:val="none"/>
                <w:u w:val="none"/>
                <w:lang w:val="en-US" w:eastAsia="zh-CN" w:bidi="ar"/>
              </w:rPr>
              <w:t>4</w:t>
            </w:r>
          </w:p>
        </w:tc>
        <w:tc>
          <w:tcPr>
            <w:tcW w:w="670" w:type="pct"/>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eastAsiaTheme="minorEastAsia"/>
                <w:color w:val="auto"/>
                <w:sz w:val="24"/>
                <w:szCs w:val="24"/>
                <w:highlight w:val="none"/>
                <w:vertAlign w:val="baseline"/>
                <w:lang w:val="en-US" w:eastAsia="zh-CN"/>
              </w:rPr>
            </w:pPr>
          </w:p>
        </w:tc>
        <w:tc>
          <w:tcPr>
            <w:tcW w:w="2160"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left"/>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培育1家以上绿色低碳龙头企业，1家以上绿色低碳核心企业和1家以上绿色低碳特色企业。</w:t>
            </w:r>
          </w:p>
        </w:tc>
        <w:tc>
          <w:tcPr>
            <w:tcW w:w="72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2030年完成</w:t>
            </w:r>
          </w:p>
        </w:tc>
        <w:tc>
          <w:tcPr>
            <w:tcW w:w="11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区经委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2" w:type="pct"/>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eastAsia" w:ascii="Times New Roman" w:hAnsi="Times New Roman" w:cs="Times New Roman" w:eastAsiaTheme="minorEastAsia"/>
                <w:i w:val="0"/>
                <w:iCs w:val="0"/>
                <w:color w:val="auto"/>
                <w:kern w:val="0"/>
                <w:sz w:val="24"/>
                <w:szCs w:val="24"/>
                <w:highlight w:val="none"/>
                <w:u w:val="none"/>
                <w:lang w:val="en-US" w:eastAsia="zh-CN" w:bidi="ar"/>
              </w:rPr>
              <w:t>5</w:t>
            </w:r>
          </w:p>
        </w:tc>
        <w:tc>
          <w:tcPr>
            <w:tcW w:w="670" w:type="pct"/>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eastAsiaTheme="minorEastAsia"/>
                <w:color w:val="auto"/>
                <w:sz w:val="24"/>
                <w:szCs w:val="24"/>
                <w:highlight w:val="none"/>
                <w:vertAlign w:val="baseline"/>
                <w:lang w:val="en-US" w:eastAsia="zh-CN"/>
              </w:rPr>
            </w:pPr>
          </w:p>
        </w:tc>
        <w:tc>
          <w:tcPr>
            <w:tcW w:w="2160"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left"/>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推进企业清洁生产审核与改造。</w:t>
            </w:r>
          </w:p>
        </w:tc>
        <w:tc>
          <w:tcPr>
            <w:tcW w:w="72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2030年完成</w:t>
            </w:r>
          </w:p>
        </w:tc>
        <w:tc>
          <w:tcPr>
            <w:tcW w:w="11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区经委、区生态环境局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eastAsia" w:ascii="Times New Roman" w:hAnsi="Times New Roman" w:cs="Times New Roman" w:eastAsiaTheme="minorEastAsia"/>
                <w:i w:val="0"/>
                <w:iCs w:val="0"/>
                <w:color w:val="auto"/>
                <w:kern w:val="0"/>
                <w:sz w:val="24"/>
                <w:szCs w:val="24"/>
                <w:highlight w:val="none"/>
                <w:u w:val="none"/>
                <w:lang w:val="en-US" w:eastAsia="zh-CN" w:bidi="ar"/>
              </w:rPr>
              <w:t>6</w:t>
            </w:r>
          </w:p>
        </w:tc>
        <w:tc>
          <w:tcPr>
            <w:tcW w:w="670" w:type="pct"/>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eastAsiaTheme="minorEastAsia"/>
                <w:color w:val="auto"/>
                <w:sz w:val="24"/>
                <w:szCs w:val="24"/>
                <w:highlight w:val="none"/>
                <w:vertAlign w:val="baseline"/>
                <w:lang w:val="en-US" w:eastAsia="zh-CN"/>
              </w:rPr>
            </w:pPr>
          </w:p>
        </w:tc>
        <w:tc>
          <w:tcPr>
            <w:tcW w:w="2160"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left"/>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持续推动企业实施“智改数转”，完善智能工厂梯度培育体系。</w:t>
            </w:r>
          </w:p>
        </w:tc>
        <w:tc>
          <w:tcPr>
            <w:tcW w:w="72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持续推进</w:t>
            </w:r>
          </w:p>
        </w:tc>
        <w:tc>
          <w:tcPr>
            <w:tcW w:w="11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区经委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eastAsia" w:ascii="Times New Roman" w:hAnsi="Times New Roman" w:cs="Times New Roman" w:eastAsiaTheme="minorEastAsia"/>
                <w:i w:val="0"/>
                <w:iCs w:val="0"/>
                <w:color w:val="auto"/>
                <w:kern w:val="0"/>
                <w:sz w:val="24"/>
                <w:szCs w:val="24"/>
                <w:highlight w:val="none"/>
                <w:u w:val="none"/>
                <w:lang w:val="en-US" w:eastAsia="zh-CN" w:bidi="ar"/>
              </w:rPr>
              <w:t>7</w:t>
            </w:r>
          </w:p>
        </w:tc>
        <w:tc>
          <w:tcPr>
            <w:tcW w:w="670" w:type="pct"/>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eastAsiaTheme="minorEastAsia"/>
                <w:color w:val="auto"/>
                <w:sz w:val="24"/>
                <w:szCs w:val="24"/>
                <w:highlight w:val="none"/>
                <w:vertAlign w:val="baseline"/>
                <w:lang w:val="en-US" w:eastAsia="zh-CN"/>
              </w:rPr>
            </w:pPr>
          </w:p>
        </w:tc>
        <w:tc>
          <w:tcPr>
            <w:tcW w:w="2160"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both"/>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eastAsiaTheme="minorEastAsia"/>
                <w:color w:val="auto"/>
                <w:kern w:val="0"/>
                <w:sz w:val="24"/>
                <w:highlight w:val="none"/>
                <w:u w:val="none"/>
                <w:lang w:bidi="ar"/>
              </w:rPr>
              <w:t>加快推进陆上风电升级改造工程</w:t>
            </w:r>
            <w:r>
              <w:rPr>
                <w:rFonts w:hint="default" w:ascii="Times New Roman" w:hAnsi="Times New Roman" w:cs="Times New Roman" w:eastAsiaTheme="minorEastAsia"/>
                <w:color w:val="auto"/>
                <w:kern w:val="0"/>
                <w:sz w:val="24"/>
                <w:highlight w:val="none"/>
                <w:u w:val="none"/>
                <w:lang w:eastAsia="zh-CN" w:bidi="ar"/>
              </w:rPr>
              <w:t>。</w:t>
            </w:r>
          </w:p>
        </w:tc>
        <w:tc>
          <w:tcPr>
            <w:tcW w:w="72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eastAsiaTheme="minorEastAsia"/>
                <w:i w:val="0"/>
                <w:iCs w:val="0"/>
                <w:color w:val="auto"/>
                <w:kern w:val="0"/>
                <w:sz w:val="24"/>
                <w:szCs w:val="24"/>
                <w:highlight w:val="none"/>
                <w:u w:val="none"/>
                <w:lang w:val="en-US" w:eastAsia="zh-CN" w:bidi="ar"/>
              </w:rPr>
              <w:t>持续推进</w:t>
            </w:r>
          </w:p>
        </w:tc>
        <w:tc>
          <w:tcPr>
            <w:tcW w:w="11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eastAsiaTheme="minorEastAsia"/>
                <w:color w:val="auto"/>
                <w:kern w:val="0"/>
                <w:sz w:val="24"/>
                <w:highlight w:val="none"/>
                <w:u w:val="none"/>
                <w:lang w:bidi="ar"/>
              </w:rPr>
              <w:t>区发展改革委、区规划资源局、</w:t>
            </w:r>
            <w:r>
              <w:rPr>
                <w:rFonts w:hint="default" w:ascii="Times New Roman" w:hAnsi="Times New Roman" w:cs="Times New Roman" w:eastAsiaTheme="minorEastAsia"/>
                <w:color w:val="auto"/>
                <w:kern w:val="0"/>
                <w:sz w:val="24"/>
                <w:highlight w:val="none"/>
                <w:u w:val="none"/>
                <w:lang w:eastAsia="zh-CN" w:bidi="ar"/>
              </w:rPr>
              <w:t>区水务局（海洋局）</w:t>
            </w:r>
            <w:r>
              <w:rPr>
                <w:rFonts w:hint="default" w:ascii="Times New Roman" w:hAnsi="Times New Roman" w:cs="Times New Roman" w:eastAsiaTheme="minorEastAsia"/>
                <w:color w:val="auto"/>
                <w:kern w:val="0"/>
                <w:sz w:val="24"/>
                <w:highlight w:val="none"/>
                <w:u w:val="none"/>
                <w:lang w:bidi="ar"/>
              </w:rPr>
              <w:t>（区海洋局）、海湾镇、海湾旅游区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eastAsia" w:ascii="Times New Roman" w:hAnsi="Times New Roman" w:cs="Times New Roman" w:eastAsiaTheme="minorEastAsia"/>
                <w:i w:val="0"/>
                <w:iCs w:val="0"/>
                <w:color w:val="auto"/>
                <w:kern w:val="0"/>
                <w:sz w:val="24"/>
                <w:szCs w:val="24"/>
                <w:highlight w:val="none"/>
                <w:u w:val="none"/>
                <w:lang w:val="en-US" w:eastAsia="zh-CN" w:bidi="ar"/>
              </w:rPr>
              <w:t>8</w:t>
            </w:r>
          </w:p>
        </w:tc>
        <w:tc>
          <w:tcPr>
            <w:tcW w:w="670" w:type="pct"/>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eastAsiaTheme="minorEastAsia"/>
                <w:color w:val="auto"/>
                <w:sz w:val="24"/>
                <w:szCs w:val="24"/>
                <w:highlight w:val="none"/>
                <w:vertAlign w:val="baseline"/>
                <w:lang w:val="en-US" w:eastAsia="zh-CN"/>
              </w:rPr>
            </w:pPr>
          </w:p>
        </w:tc>
        <w:tc>
          <w:tcPr>
            <w:tcW w:w="2160"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left"/>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民航运输机场、港口码头、物流枢纽、仓储分拣设施等按照“能设尽设”原则增建光伏设施，推进光伏建筑一体化试点。</w:t>
            </w:r>
          </w:p>
        </w:tc>
        <w:tc>
          <w:tcPr>
            <w:tcW w:w="72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2026年完成</w:t>
            </w:r>
          </w:p>
        </w:tc>
        <w:tc>
          <w:tcPr>
            <w:tcW w:w="11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区建设管理委（区交通委）、区经委、区发展改革委、奉贤邮政管理局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eastAsia" w:ascii="Times New Roman" w:hAnsi="Times New Roman" w:cs="Times New Roman" w:eastAsiaTheme="minorEastAsia"/>
                <w:i w:val="0"/>
                <w:iCs w:val="0"/>
                <w:color w:val="auto"/>
                <w:kern w:val="0"/>
                <w:sz w:val="24"/>
                <w:szCs w:val="24"/>
                <w:highlight w:val="none"/>
                <w:u w:val="none"/>
                <w:lang w:val="en-US" w:eastAsia="zh-CN" w:bidi="ar"/>
              </w:rPr>
              <w:t>9</w:t>
            </w:r>
          </w:p>
        </w:tc>
        <w:tc>
          <w:tcPr>
            <w:tcW w:w="670" w:type="pct"/>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eastAsiaTheme="minorEastAsia"/>
                <w:color w:val="auto"/>
                <w:sz w:val="24"/>
                <w:szCs w:val="24"/>
                <w:highlight w:val="none"/>
                <w:vertAlign w:val="baseline"/>
                <w:lang w:val="en-US" w:eastAsia="zh-CN"/>
              </w:rPr>
            </w:pPr>
          </w:p>
        </w:tc>
        <w:tc>
          <w:tcPr>
            <w:tcW w:w="2160"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left"/>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全面推行建筑“光伏+”应用，推动新建建筑落实光伏安装比例要求。</w:t>
            </w:r>
          </w:p>
        </w:tc>
        <w:tc>
          <w:tcPr>
            <w:tcW w:w="72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eastAsiaTheme="minorEastAsia"/>
                <w:i w:val="0"/>
                <w:iCs w:val="0"/>
                <w:color w:val="auto"/>
                <w:kern w:val="0"/>
                <w:sz w:val="24"/>
                <w:szCs w:val="24"/>
                <w:highlight w:val="none"/>
                <w:u w:val="none"/>
                <w:lang w:val="en-US" w:eastAsia="zh-CN" w:bidi="ar"/>
              </w:rPr>
              <w:t>持续推进</w:t>
            </w:r>
          </w:p>
        </w:tc>
        <w:tc>
          <w:tcPr>
            <w:tcW w:w="11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区发展改革委、区建设管理委（区交通委）、区机管局、区经委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eastAsia" w:ascii="Times New Roman" w:hAnsi="Times New Roman" w:cs="Times New Roman" w:eastAsiaTheme="minorEastAsia"/>
                <w:i w:val="0"/>
                <w:iCs w:val="0"/>
                <w:color w:val="auto"/>
                <w:kern w:val="0"/>
                <w:sz w:val="24"/>
                <w:szCs w:val="24"/>
                <w:highlight w:val="none"/>
                <w:u w:val="none"/>
                <w:lang w:val="en-US" w:eastAsia="zh-CN" w:bidi="ar"/>
              </w:rPr>
              <w:t>10</w:t>
            </w:r>
          </w:p>
        </w:tc>
        <w:tc>
          <w:tcPr>
            <w:tcW w:w="670" w:type="pct"/>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eastAsiaTheme="minorEastAsia"/>
                <w:color w:val="auto"/>
                <w:sz w:val="24"/>
                <w:szCs w:val="24"/>
                <w:highlight w:val="none"/>
                <w:vertAlign w:val="baseline"/>
                <w:lang w:val="en-US" w:eastAsia="zh-CN"/>
              </w:rPr>
            </w:pPr>
          </w:p>
        </w:tc>
        <w:tc>
          <w:tcPr>
            <w:tcW w:w="2160"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left"/>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推进汽车充（换）电设施建设。</w:t>
            </w:r>
          </w:p>
        </w:tc>
        <w:tc>
          <w:tcPr>
            <w:tcW w:w="72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2026年完成</w:t>
            </w:r>
          </w:p>
        </w:tc>
        <w:tc>
          <w:tcPr>
            <w:tcW w:w="11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区建设管理委（区交通委）、区发展改革委、区经委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center"/>
              <w:textAlignment w:val="center"/>
              <w:rPr>
                <w:rFonts w:hint="default" w:ascii="Times New Roman" w:hAnsi="Times New Roman" w:cs="Times New Roman" w:eastAsiaTheme="minorEastAsia"/>
                <w:i w:val="0"/>
                <w:iCs w:val="0"/>
                <w:strike w:val="0"/>
                <w:dstrike w:val="0"/>
                <w:color w:val="auto"/>
                <w:kern w:val="0"/>
                <w:sz w:val="24"/>
                <w:szCs w:val="24"/>
                <w:highlight w:val="none"/>
                <w:u w:val="none"/>
                <w:lang w:val="en-US" w:eastAsia="zh-CN" w:bidi="ar"/>
              </w:rPr>
            </w:pPr>
            <w:r>
              <w:rPr>
                <w:rFonts w:hint="eastAsia" w:ascii="Times New Roman" w:hAnsi="Times New Roman" w:cs="Times New Roman" w:eastAsiaTheme="minorEastAsia"/>
                <w:i w:val="0"/>
                <w:iCs w:val="0"/>
                <w:strike w:val="0"/>
                <w:dstrike w:val="0"/>
                <w:color w:val="auto"/>
                <w:kern w:val="0"/>
                <w:sz w:val="24"/>
                <w:szCs w:val="24"/>
                <w:highlight w:val="none"/>
                <w:u w:val="none"/>
                <w:lang w:val="en-US" w:eastAsia="zh-CN" w:bidi="ar"/>
              </w:rPr>
              <w:t>11</w:t>
            </w:r>
          </w:p>
        </w:tc>
        <w:tc>
          <w:tcPr>
            <w:tcW w:w="670" w:type="pct"/>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eastAsiaTheme="minorEastAsia"/>
                <w:color w:val="auto"/>
                <w:sz w:val="24"/>
                <w:szCs w:val="24"/>
                <w:highlight w:val="none"/>
                <w:vertAlign w:val="baseline"/>
                <w:lang w:val="en-US" w:eastAsia="zh-CN"/>
              </w:rPr>
            </w:pPr>
          </w:p>
        </w:tc>
        <w:tc>
          <w:tcPr>
            <w:tcW w:w="2160"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left"/>
              <w:textAlignment w:val="center"/>
              <w:rPr>
                <w:rFonts w:hint="default" w:ascii="Times New Roman" w:hAnsi="Times New Roman" w:cs="Times New Roman" w:eastAsiaTheme="minorEastAsia"/>
                <w:i w:val="0"/>
                <w:iCs w:val="0"/>
                <w:strike w:val="0"/>
                <w:dstrike w:val="0"/>
                <w:color w:val="auto"/>
                <w:kern w:val="0"/>
                <w:sz w:val="24"/>
                <w:szCs w:val="24"/>
                <w:highlight w:val="none"/>
                <w:u w:val="none"/>
                <w:lang w:val="en-US" w:eastAsia="zh-CN" w:bidi="ar"/>
              </w:rPr>
            </w:pPr>
            <w:r>
              <w:rPr>
                <w:rFonts w:hint="default" w:ascii="Times New Roman" w:hAnsi="Times New Roman" w:cs="Times New Roman" w:eastAsiaTheme="minorEastAsia"/>
                <w:i w:val="0"/>
                <w:iCs w:val="0"/>
                <w:strike w:val="0"/>
                <w:dstrike w:val="0"/>
                <w:color w:val="auto"/>
                <w:kern w:val="0"/>
                <w:sz w:val="24"/>
                <w:szCs w:val="24"/>
                <w:highlight w:val="none"/>
                <w:u w:val="none"/>
                <w:lang w:val="en-US" w:eastAsia="zh-CN" w:bidi="ar"/>
              </w:rPr>
              <w:t>完成既有公共建筑节能改</w:t>
            </w:r>
            <w:r>
              <w:rPr>
                <w:rStyle w:val="48"/>
                <w:rFonts w:hint="default" w:ascii="Times New Roman" w:hAnsi="Times New Roman" w:cs="Times New Roman" w:eastAsiaTheme="minorEastAsia"/>
                <w:strike w:val="0"/>
                <w:dstrike w:val="0"/>
                <w:color w:val="auto"/>
                <w:sz w:val="24"/>
                <w:szCs w:val="24"/>
                <w:highlight w:val="none"/>
                <w:lang w:val="en-US" w:eastAsia="zh-CN" w:bidi="ar"/>
              </w:rPr>
              <w:t>造20万</w:t>
            </w:r>
            <w:r>
              <w:rPr>
                <w:rFonts w:hint="default" w:ascii="Times New Roman" w:hAnsi="Times New Roman" w:cs="Times New Roman" w:eastAsiaTheme="minorEastAsia"/>
                <w:i w:val="0"/>
                <w:iCs w:val="0"/>
                <w:strike w:val="0"/>
                <w:dstrike w:val="0"/>
                <w:color w:val="auto"/>
                <w:kern w:val="0"/>
                <w:sz w:val="24"/>
                <w:szCs w:val="24"/>
                <w:highlight w:val="none"/>
                <w:u w:val="none"/>
                <w:lang w:val="en-US" w:eastAsia="zh-CN" w:bidi="ar"/>
              </w:rPr>
              <w:t>平方米。</w:t>
            </w:r>
          </w:p>
        </w:tc>
        <w:tc>
          <w:tcPr>
            <w:tcW w:w="72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strike w:val="0"/>
                <w:dstrike w:val="0"/>
                <w:color w:val="auto"/>
                <w:kern w:val="0"/>
                <w:sz w:val="24"/>
                <w:szCs w:val="24"/>
                <w:highlight w:val="none"/>
                <w:u w:val="none"/>
                <w:lang w:val="en-US" w:eastAsia="zh-CN" w:bidi="ar"/>
              </w:rPr>
            </w:pPr>
            <w:r>
              <w:rPr>
                <w:rFonts w:hint="default" w:ascii="Times New Roman" w:hAnsi="Times New Roman" w:cs="Times New Roman" w:eastAsiaTheme="minorEastAsia"/>
                <w:i w:val="0"/>
                <w:iCs w:val="0"/>
                <w:strike w:val="0"/>
                <w:dstrike w:val="0"/>
                <w:color w:val="auto"/>
                <w:kern w:val="0"/>
                <w:sz w:val="24"/>
                <w:szCs w:val="24"/>
                <w:highlight w:val="none"/>
                <w:u w:val="none"/>
                <w:lang w:val="en-US" w:eastAsia="zh-CN" w:bidi="ar"/>
              </w:rPr>
              <w:t>2030年完成</w:t>
            </w:r>
          </w:p>
        </w:tc>
        <w:tc>
          <w:tcPr>
            <w:tcW w:w="11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strike w:val="0"/>
                <w:dstrike w:val="0"/>
                <w:color w:val="auto"/>
                <w:kern w:val="0"/>
                <w:sz w:val="24"/>
                <w:szCs w:val="24"/>
                <w:highlight w:val="none"/>
                <w:u w:val="none"/>
                <w:lang w:val="en-US" w:eastAsia="zh-CN" w:bidi="ar"/>
              </w:rPr>
            </w:pPr>
            <w:r>
              <w:rPr>
                <w:rFonts w:hint="default" w:ascii="Times New Roman" w:hAnsi="Times New Roman" w:cs="Times New Roman" w:eastAsiaTheme="minorEastAsia"/>
                <w:i w:val="0"/>
                <w:iCs w:val="0"/>
                <w:strike w:val="0"/>
                <w:dstrike w:val="0"/>
                <w:color w:val="auto"/>
                <w:kern w:val="0"/>
                <w:sz w:val="24"/>
                <w:szCs w:val="24"/>
                <w:highlight w:val="none"/>
                <w:u w:val="none"/>
                <w:lang w:val="en-US" w:eastAsia="zh-CN" w:bidi="ar"/>
              </w:rPr>
              <w:t>区建设管理委（区交通委）、区发展改革委、区规划资源局、区房管局、区机管局、区教育局、区文化旅游局、区卫生健康委、区农业农村委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eastAsia" w:ascii="Times New Roman" w:hAnsi="Times New Roman" w:cs="Times New Roman" w:eastAsiaTheme="minorEastAsia"/>
                <w:i w:val="0"/>
                <w:iCs w:val="0"/>
                <w:color w:val="auto"/>
                <w:kern w:val="0"/>
                <w:sz w:val="24"/>
                <w:szCs w:val="24"/>
                <w:highlight w:val="none"/>
                <w:u w:val="none"/>
                <w:lang w:val="en-US" w:eastAsia="zh-CN" w:bidi="ar"/>
              </w:rPr>
              <w:t>12</w:t>
            </w:r>
          </w:p>
        </w:tc>
        <w:tc>
          <w:tcPr>
            <w:tcW w:w="670" w:type="pct"/>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eastAsiaTheme="minorEastAsia"/>
                <w:color w:val="auto"/>
                <w:sz w:val="24"/>
                <w:szCs w:val="24"/>
                <w:highlight w:val="none"/>
                <w:vertAlign w:val="baseline"/>
                <w:lang w:val="en-US" w:eastAsia="zh-CN"/>
              </w:rPr>
            </w:pPr>
          </w:p>
        </w:tc>
        <w:tc>
          <w:tcPr>
            <w:tcW w:w="2160"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left"/>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eastAsiaTheme="minorEastAsia"/>
                <w:color w:val="auto"/>
                <w:kern w:val="2"/>
                <w:sz w:val="24"/>
                <w:szCs w:val="24"/>
                <w:highlight w:val="none"/>
                <w:vertAlign w:val="baseline"/>
                <w:lang w:val="en-US" w:eastAsia="zh-CN" w:bidi="ar-SA"/>
              </w:rPr>
              <w:t>建设奉贤区国家机关办公建筑和大型公共建筑能源和碳排放智慧监管系统，实现对绿色建筑、绿色生态城区、可再生能源监测、节能改造示范项目等方面的数智应用。</w:t>
            </w:r>
          </w:p>
        </w:tc>
        <w:tc>
          <w:tcPr>
            <w:tcW w:w="72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eastAsiaTheme="minorEastAsia"/>
                <w:i w:val="0"/>
                <w:iCs w:val="0"/>
                <w:strike w:val="0"/>
                <w:dstrike w:val="0"/>
                <w:color w:val="auto"/>
                <w:kern w:val="0"/>
                <w:sz w:val="24"/>
                <w:szCs w:val="24"/>
                <w:highlight w:val="none"/>
                <w:u w:val="none"/>
                <w:lang w:val="en-US" w:eastAsia="zh-CN" w:bidi="ar"/>
              </w:rPr>
              <w:t>2030年完成</w:t>
            </w:r>
          </w:p>
        </w:tc>
        <w:tc>
          <w:tcPr>
            <w:tcW w:w="11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eastAsiaTheme="minorEastAsia"/>
                <w:color w:val="auto"/>
                <w:kern w:val="2"/>
                <w:sz w:val="24"/>
                <w:szCs w:val="24"/>
                <w:highlight w:val="none"/>
                <w:vertAlign w:val="baseline"/>
                <w:lang w:val="en-US" w:eastAsia="zh-CN" w:bidi="ar-SA"/>
              </w:rPr>
              <w:t>区建管委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eastAsia" w:ascii="Times New Roman" w:hAnsi="Times New Roman" w:cs="Times New Roman" w:eastAsiaTheme="minorEastAsia"/>
                <w:i w:val="0"/>
                <w:iCs w:val="0"/>
                <w:color w:val="auto"/>
                <w:kern w:val="0"/>
                <w:sz w:val="24"/>
                <w:szCs w:val="24"/>
                <w:highlight w:val="none"/>
                <w:u w:val="none"/>
                <w:lang w:val="en-US" w:eastAsia="zh-CN" w:bidi="ar"/>
              </w:rPr>
              <w:t>13</w:t>
            </w:r>
          </w:p>
        </w:tc>
        <w:tc>
          <w:tcPr>
            <w:tcW w:w="670" w:type="pct"/>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eastAsiaTheme="minorEastAsia"/>
                <w:color w:val="auto"/>
                <w:sz w:val="24"/>
                <w:szCs w:val="24"/>
                <w:highlight w:val="none"/>
                <w:vertAlign w:val="baseline"/>
                <w:lang w:val="en-US" w:eastAsia="zh-CN"/>
              </w:rPr>
            </w:pPr>
          </w:p>
        </w:tc>
        <w:tc>
          <w:tcPr>
            <w:tcW w:w="2160"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left"/>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深化国家生态文明建设示范区创建成果和“绿水青山就是金山银山”实践创新基地。</w:t>
            </w:r>
          </w:p>
        </w:tc>
        <w:tc>
          <w:tcPr>
            <w:tcW w:w="72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持续推进</w:t>
            </w:r>
          </w:p>
        </w:tc>
        <w:tc>
          <w:tcPr>
            <w:tcW w:w="11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eastAsia" w:ascii="Times New Roman" w:hAnsi="Times New Roman" w:cs="Times New Roman" w:eastAsiaTheme="minorEastAsia"/>
                <w:i w:val="0"/>
                <w:iCs w:val="0"/>
                <w:color w:val="auto"/>
                <w:kern w:val="0"/>
                <w:sz w:val="24"/>
                <w:szCs w:val="24"/>
                <w:highlight w:val="none"/>
                <w:u w:val="none"/>
                <w:lang w:val="en-US" w:eastAsia="zh-CN" w:bidi="ar"/>
              </w:rPr>
              <w:t>14</w:t>
            </w:r>
          </w:p>
        </w:tc>
        <w:tc>
          <w:tcPr>
            <w:tcW w:w="670" w:type="pct"/>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eastAsiaTheme="minorEastAsia"/>
                <w:color w:val="auto"/>
                <w:sz w:val="24"/>
                <w:szCs w:val="24"/>
                <w:highlight w:val="none"/>
                <w:vertAlign w:val="baseline"/>
                <w:lang w:val="en-US" w:eastAsia="zh-CN"/>
              </w:rPr>
            </w:pPr>
            <w:r>
              <w:rPr>
                <w:rFonts w:hint="default" w:ascii="Times New Roman" w:hAnsi="Times New Roman" w:cs="Times New Roman" w:eastAsiaTheme="minorEastAsia"/>
                <w:color w:val="auto"/>
                <w:sz w:val="24"/>
                <w:szCs w:val="24"/>
                <w:highlight w:val="none"/>
                <w:vertAlign w:val="baseline"/>
                <w:lang w:val="en-US" w:eastAsia="zh-CN"/>
              </w:rPr>
              <w:t>打好污染防治攻坚战，提升整体生态环境质量</w:t>
            </w:r>
          </w:p>
        </w:tc>
        <w:tc>
          <w:tcPr>
            <w:tcW w:w="2160"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left"/>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持续推进重点企业的VOCs深度治理和源头减排，加强VOCs企业排放监管，对治理效果不佳、运行不稳定的治理设施实施改造升级。强化燃油锅炉炉窑排放监管，加大清洁化改造力度，配合推进能源产业结构调整。</w:t>
            </w:r>
          </w:p>
        </w:tc>
        <w:tc>
          <w:tcPr>
            <w:tcW w:w="72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eastAsiaTheme="minorEastAsia"/>
                <w:color w:val="auto"/>
                <w:kern w:val="2"/>
                <w:sz w:val="24"/>
                <w:szCs w:val="24"/>
                <w:highlight w:val="none"/>
                <w:vertAlign w:val="baseline"/>
                <w:lang w:val="en-US" w:eastAsia="zh-CN" w:bidi="ar-SA"/>
              </w:rPr>
              <w:t>持续推进</w:t>
            </w:r>
          </w:p>
        </w:tc>
        <w:tc>
          <w:tcPr>
            <w:tcW w:w="11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eastAsia" w:ascii="Times New Roman" w:hAnsi="Times New Roman" w:cs="Times New Roman" w:eastAsiaTheme="minorEastAsia"/>
                <w:i w:val="0"/>
                <w:iCs w:val="0"/>
                <w:color w:val="auto"/>
                <w:kern w:val="0"/>
                <w:sz w:val="24"/>
                <w:szCs w:val="24"/>
                <w:highlight w:val="none"/>
                <w:u w:val="none"/>
                <w:lang w:val="en-US" w:eastAsia="zh-CN" w:bidi="ar"/>
              </w:rPr>
              <w:t>15</w:t>
            </w:r>
          </w:p>
        </w:tc>
        <w:tc>
          <w:tcPr>
            <w:tcW w:w="670" w:type="pct"/>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eastAsiaTheme="minorEastAsia"/>
                <w:strike w:val="0"/>
                <w:dstrike w:val="0"/>
                <w:color w:val="auto"/>
                <w:sz w:val="24"/>
                <w:szCs w:val="24"/>
                <w:highlight w:val="none"/>
                <w:vertAlign w:val="baseline"/>
                <w:lang w:val="en-US" w:eastAsia="zh-CN"/>
              </w:rPr>
            </w:pPr>
          </w:p>
        </w:tc>
        <w:tc>
          <w:tcPr>
            <w:tcW w:w="2160"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left"/>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实施环杭州湾地区石化化工挥发性有机物“三统一”协同治理。</w:t>
            </w:r>
          </w:p>
        </w:tc>
        <w:tc>
          <w:tcPr>
            <w:tcW w:w="72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持续推进</w:t>
            </w:r>
          </w:p>
        </w:tc>
        <w:tc>
          <w:tcPr>
            <w:tcW w:w="11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区生态环境局、区经委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 w:type="pct"/>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eastAsia" w:ascii="Times New Roman" w:hAnsi="Times New Roman" w:cs="Times New Roman" w:eastAsiaTheme="minorEastAsia"/>
                <w:i w:val="0"/>
                <w:iCs w:val="0"/>
                <w:color w:val="auto"/>
                <w:kern w:val="0"/>
                <w:sz w:val="24"/>
                <w:szCs w:val="24"/>
                <w:highlight w:val="none"/>
                <w:u w:val="none"/>
                <w:lang w:val="en-US" w:eastAsia="zh-CN" w:bidi="ar"/>
              </w:rPr>
              <w:t>16</w:t>
            </w:r>
          </w:p>
        </w:tc>
        <w:tc>
          <w:tcPr>
            <w:tcW w:w="670" w:type="pct"/>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eastAsiaTheme="minorEastAsia"/>
                <w:color w:val="auto"/>
                <w:sz w:val="24"/>
                <w:szCs w:val="24"/>
                <w:highlight w:val="none"/>
                <w:vertAlign w:val="baseline"/>
                <w:lang w:val="en-US" w:eastAsia="zh-CN"/>
              </w:rPr>
            </w:pPr>
          </w:p>
        </w:tc>
        <w:tc>
          <w:tcPr>
            <w:tcW w:w="2160"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left"/>
              <w:textAlignment w:val="center"/>
              <w:rPr>
                <w:rFonts w:hint="default" w:ascii="Times New Roman" w:hAnsi="Times New Roman" w:cs="Times New Roman" w:eastAsiaTheme="minorEastAsia"/>
                <w:color w:val="auto"/>
                <w:kern w:val="2"/>
                <w:sz w:val="30"/>
                <w:szCs w:val="24"/>
                <w:highlight w:val="none"/>
                <w:lang w:val="en-US" w:eastAsia="zh-CN" w:bidi="ar-SA"/>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开展雨污混接普查和整治。</w:t>
            </w:r>
          </w:p>
        </w:tc>
        <w:tc>
          <w:tcPr>
            <w:tcW w:w="72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2026年底完成雨污混接普查和整治工作目标</w:t>
            </w:r>
          </w:p>
        </w:tc>
        <w:tc>
          <w:tcPr>
            <w:tcW w:w="11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区水务局（海洋局）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12" w:type="pct"/>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eastAsia" w:ascii="Times New Roman" w:hAnsi="Times New Roman" w:cs="Times New Roman" w:eastAsiaTheme="minorEastAsia"/>
                <w:i w:val="0"/>
                <w:iCs w:val="0"/>
                <w:color w:val="auto"/>
                <w:kern w:val="0"/>
                <w:sz w:val="24"/>
                <w:szCs w:val="24"/>
                <w:highlight w:val="none"/>
                <w:u w:val="none"/>
                <w:lang w:val="en-US" w:eastAsia="zh-CN" w:bidi="ar"/>
              </w:rPr>
              <w:t>17</w:t>
            </w:r>
          </w:p>
        </w:tc>
        <w:tc>
          <w:tcPr>
            <w:tcW w:w="670" w:type="pct"/>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eastAsiaTheme="minorEastAsia"/>
                <w:color w:val="auto"/>
                <w:sz w:val="24"/>
                <w:szCs w:val="24"/>
                <w:highlight w:val="none"/>
                <w:vertAlign w:val="baseline"/>
                <w:lang w:val="en-US" w:eastAsia="zh-CN"/>
              </w:rPr>
            </w:pPr>
          </w:p>
        </w:tc>
        <w:tc>
          <w:tcPr>
            <w:tcW w:w="2160"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left"/>
              <w:textAlignment w:val="center"/>
              <w:rPr>
                <w:rFonts w:hint="default" w:ascii="Times New Roman" w:hAnsi="Times New Roman" w:cs="Times New Roman" w:eastAsiaTheme="minorEastAsia"/>
                <w:color w:val="auto"/>
                <w:kern w:val="2"/>
                <w:sz w:val="30"/>
                <w:szCs w:val="24"/>
                <w:highlight w:val="none"/>
                <w:lang w:val="en-US" w:eastAsia="zh-CN" w:bidi="ar-SA"/>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开展入河入海排污口排查溯源整治。</w:t>
            </w:r>
          </w:p>
        </w:tc>
        <w:tc>
          <w:tcPr>
            <w:tcW w:w="72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2026年完成整治</w:t>
            </w:r>
          </w:p>
        </w:tc>
        <w:tc>
          <w:tcPr>
            <w:tcW w:w="11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区生态环境局、区水务局（海洋局）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312" w:type="pct"/>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eastAsia" w:ascii="Times New Roman" w:hAnsi="Times New Roman" w:cs="Times New Roman" w:eastAsiaTheme="minorEastAsia"/>
                <w:i w:val="0"/>
                <w:iCs w:val="0"/>
                <w:color w:val="auto"/>
                <w:kern w:val="0"/>
                <w:sz w:val="24"/>
                <w:szCs w:val="24"/>
                <w:highlight w:val="none"/>
                <w:u w:val="none"/>
                <w:lang w:val="en-US" w:eastAsia="zh-CN" w:bidi="ar"/>
              </w:rPr>
              <w:t>18</w:t>
            </w:r>
          </w:p>
        </w:tc>
        <w:tc>
          <w:tcPr>
            <w:tcW w:w="670" w:type="pct"/>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eastAsiaTheme="minorEastAsia"/>
                <w:color w:val="auto"/>
                <w:sz w:val="24"/>
                <w:szCs w:val="24"/>
                <w:highlight w:val="none"/>
                <w:vertAlign w:val="baseline"/>
                <w:lang w:val="en-US" w:eastAsia="zh-CN"/>
              </w:rPr>
            </w:pPr>
          </w:p>
        </w:tc>
        <w:tc>
          <w:tcPr>
            <w:tcW w:w="2160"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left"/>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推进河道综合整治（45公里）。</w:t>
            </w:r>
          </w:p>
        </w:tc>
        <w:tc>
          <w:tcPr>
            <w:tcW w:w="72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2030年完成</w:t>
            </w:r>
          </w:p>
        </w:tc>
        <w:tc>
          <w:tcPr>
            <w:tcW w:w="11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区水务局（海洋局）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12" w:type="pct"/>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eastAsia" w:ascii="Times New Roman" w:hAnsi="Times New Roman" w:cs="Times New Roman" w:eastAsiaTheme="minorEastAsia"/>
                <w:i w:val="0"/>
                <w:iCs w:val="0"/>
                <w:color w:val="auto"/>
                <w:kern w:val="0"/>
                <w:sz w:val="24"/>
                <w:szCs w:val="24"/>
                <w:highlight w:val="none"/>
                <w:u w:val="none"/>
                <w:lang w:val="en-US" w:eastAsia="zh-CN" w:bidi="ar"/>
              </w:rPr>
              <w:t>19</w:t>
            </w:r>
          </w:p>
        </w:tc>
        <w:tc>
          <w:tcPr>
            <w:tcW w:w="670" w:type="pct"/>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eastAsiaTheme="minorEastAsia"/>
                <w:color w:val="auto"/>
                <w:sz w:val="24"/>
                <w:szCs w:val="24"/>
                <w:highlight w:val="none"/>
                <w:vertAlign w:val="baseline"/>
                <w:lang w:val="en-US" w:eastAsia="zh-CN"/>
              </w:rPr>
            </w:pPr>
          </w:p>
        </w:tc>
        <w:tc>
          <w:tcPr>
            <w:tcW w:w="2160"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left"/>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建设生态清洁小流域示范点（5个）。</w:t>
            </w:r>
          </w:p>
        </w:tc>
        <w:tc>
          <w:tcPr>
            <w:tcW w:w="72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2030年完成</w:t>
            </w:r>
          </w:p>
        </w:tc>
        <w:tc>
          <w:tcPr>
            <w:tcW w:w="11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区水务局（海洋局）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eastAsia" w:ascii="Times New Roman" w:hAnsi="Times New Roman" w:cs="Times New Roman" w:eastAsiaTheme="minorEastAsia"/>
                <w:i w:val="0"/>
                <w:iCs w:val="0"/>
                <w:color w:val="auto"/>
                <w:kern w:val="0"/>
                <w:sz w:val="24"/>
                <w:szCs w:val="24"/>
                <w:highlight w:val="none"/>
                <w:u w:val="none"/>
                <w:lang w:val="en-US" w:eastAsia="zh-CN" w:bidi="ar"/>
              </w:rPr>
              <w:t>20</w:t>
            </w:r>
          </w:p>
        </w:tc>
        <w:tc>
          <w:tcPr>
            <w:tcW w:w="670" w:type="pct"/>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eastAsiaTheme="minorEastAsia"/>
                <w:color w:val="auto"/>
                <w:sz w:val="24"/>
                <w:szCs w:val="24"/>
                <w:highlight w:val="none"/>
                <w:vertAlign w:val="baseline"/>
                <w:lang w:val="en-US" w:eastAsia="zh-CN"/>
              </w:rPr>
            </w:pPr>
          </w:p>
        </w:tc>
        <w:tc>
          <w:tcPr>
            <w:tcW w:w="2160"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left"/>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推进美丽幸福河湖建设。</w:t>
            </w:r>
          </w:p>
        </w:tc>
        <w:tc>
          <w:tcPr>
            <w:tcW w:w="72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2030年完成</w:t>
            </w:r>
          </w:p>
        </w:tc>
        <w:tc>
          <w:tcPr>
            <w:tcW w:w="11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区生态环境局、区水务局（海洋局）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eastAsia" w:ascii="Times New Roman" w:hAnsi="Times New Roman" w:cs="Times New Roman" w:eastAsiaTheme="minorEastAsia"/>
                <w:i w:val="0"/>
                <w:iCs w:val="0"/>
                <w:color w:val="auto"/>
                <w:kern w:val="0"/>
                <w:sz w:val="24"/>
                <w:szCs w:val="24"/>
                <w:highlight w:val="none"/>
                <w:u w:val="none"/>
                <w:lang w:val="en-US" w:eastAsia="zh-CN" w:bidi="ar"/>
              </w:rPr>
              <w:t>21</w:t>
            </w:r>
          </w:p>
        </w:tc>
        <w:tc>
          <w:tcPr>
            <w:tcW w:w="670" w:type="pct"/>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eastAsiaTheme="minorEastAsia"/>
                <w:color w:val="auto"/>
                <w:sz w:val="24"/>
                <w:szCs w:val="24"/>
                <w:highlight w:val="none"/>
                <w:vertAlign w:val="baseline"/>
                <w:lang w:val="en-US" w:eastAsia="zh-CN"/>
              </w:rPr>
            </w:pPr>
          </w:p>
        </w:tc>
        <w:tc>
          <w:tcPr>
            <w:tcW w:w="2160"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left"/>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海湾镇水系联通工程（断头河及小微水体联通工程）</w:t>
            </w:r>
          </w:p>
        </w:tc>
        <w:tc>
          <w:tcPr>
            <w:tcW w:w="72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2030年完成</w:t>
            </w:r>
          </w:p>
        </w:tc>
        <w:tc>
          <w:tcPr>
            <w:tcW w:w="11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海湾镇政府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eastAsia" w:ascii="Times New Roman" w:hAnsi="Times New Roman" w:cs="Times New Roman" w:eastAsiaTheme="minorEastAsia"/>
                <w:i w:val="0"/>
                <w:iCs w:val="0"/>
                <w:color w:val="auto"/>
                <w:kern w:val="0"/>
                <w:sz w:val="24"/>
                <w:szCs w:val="24"/>
                <w:highlight w:val="none"/>
                <w:u w:val="none"/>
                <w:lang w:val="en-US" w:eastAsia="zh-CN" w:bidi="ar"/>
              </w:rPr>
              <w:t>22</w:t>
            </w:r>
          </w:p>
        </w:tc>
        <w:tc>
          <w:tcPr>
            <w:tcW w:w="670" w:type="pct"/>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eastAsiaTheme="minorEastAsia"/>
                <w:color w:val="auto"/>
                <w:sz w:val="24"/>
                <w:szCs w:val="24"/>
                <w:highlight w:val="none"/>
                <w:vertAlign w:val="baseline"/>
                <w:lang w:val="en-US" w:eastAsia="zh-CN"/>
              </w:rPr>
            </w:pPr>
          </w:p>
        </w:tc>
        <w:tc>
          <w:tcPr>
            <w:tcW w:w="2160"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left"/>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入海河流总氮污染管控治理。</w:t>
            </w:r>
          </w:p>
        </w:tc>
        <w:tc>
          <w:tcPr>
            <w:tcW w:w="72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持续推进</w:t>
            </w:r>
          </w:p>
        </w:tc>
        <w:tc>
          <w:tcPr>
            <w:tcW w:w="11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eastAsia" w:ascii="Times New Roman" w:hAnsi="Times New Roman" w:cs="Times New Roman" w:eastAsiaTheme="minorEastAsia"/>
                <w:i w:val="0"/>
                <w:iCs w:val="0"/>
                <w:color w:val="auto"/>
                <w:kern w:val="0"/>
                <w:sz w:val="24"/>
                <w:szCs w:val="24"/>
                <w:highlight w:val="none"/>
                <w:u w:val="none"/>
                <w:lang w:val="en-US" w:eastAsia="zh-CN" w:bidi="ar"/>
              </w:rPr>
              <w:t>23</w:t>
            </w:r>
          </w:p>
        </w:tc>
        <w:tc>
          <w:tcPr>
            <w:tcW w:w="670" w:type="pct"/>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eastAsiaTheme="minorEastAsia"/>
                <w:color w:val="auto"/>
                <w:sz w:val="24"/>
                <w:szCs w:val="24"/>
                <w:highlight w:val="none"/>
                <w:vertAlign w:val="baseline"/>
                <w:lang w:val="en-US" w:eastAsia="zh-CN"/>
              </w:rPr>
            </w:pPr>
          </w:p>
        </w:tc>
        <w:tc>
          <w:tcPr>
            <w:tcW w:w="2160"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left"/>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编制印发实施“一湾一策”工作方案。</w:t>
            </w:r>
          </w:p>
        </w:tc>
        <w:tc>
          <w:tcPr>
            <w:tcW w:w="72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2026年完成</w:t>
            </w:r>
          </w:p>
        </w:tc>
        <w:tc>
          <w:tcPr>
            <w:tcW w:w="11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eastAsia" w:ascii="Times New Roman" w:hAnsi="Times New Roman" w:cs="Times New Roman" w:eastAsiaTheme="minorEastAsia"/>
                <w:i w:val="0"/>
                <w:iCs w:val="0"/>
                <w:color w:val="auto"/>
                <w:kern w:val="0"/>
                <w:sz w:val="24"/>
                <w:szCs w:val="24"/>
                <w:highlight w:val="none"/>
                <w:u w:val="none"/>
                <w:lang w:val="en-US" w:eastAsia="zh-CN" w:bidi="ar"/>
              </w:rPr>
              <w:t>24</w:t>
            </w:r>
          </w:p>
        </w:tc>
        <w:tc>
          <w:tcPr>
            <w:tcW w:w="670" w:type="pct"/>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eastAsiaTheme="minorEastAsia"/>
                <w:color w:val="auto"/>
                <w:sz w:val="24"/>
                <w:szCs w:val="24"/>
                <w:highlight w:val="none"/>
                <w:vertAlign w:val="baseline"/>
                <w:lang w:val="en-US" w:eastAsia="zh-CN"/>
              </w:rPr>
            </w:pPr>
          </w:p>
        </w:tc>
        <w:tc>
          <w:tcPr>
            <w:tcW w:w="2160"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left"/>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开展“蓝色循环”海洋垃圾治理试点。</w:t>
            </w:r>
          </w:p>
        </w:tc>
        <w:tc>
          <w:tcPr>
            <w:tcW w:w="72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2027年完成</w:t>
            </w:r>
          </w:p>
        </w:tc>
        <w:tc>
          <w:tcPr>
            <w:tcW w:w="11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区生态环境局、区水务局（海洋局）、区绿化市容局、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eastAsia" w:ascii="Times New Roman" w:hAnsi="Times New Roman" w:cs="Times New Roman" w:eastAsiaTheme="minorEastAsia"/>
                <w:i w:val="0"/>
                <w:iCs w:val="0"/>
                <w:color w:val="auto"/>
                <w:kern w:val="0"/>
                <w:sz w:val="24"/>
                <w:szCs w:val="24"/>
                <w:highlight w:val="none"/>
                <w:u w:val="none"/>
                <w:lang w:val="en-US" w:eastAsia="zh-CN" w:bidi="ar"/>
              </w:rPr>
              <w:t>25</w:t>
            </w:r>
          </w:p>
        </w:tc>
        <w:tc>
          <w:tcPr>
            <w:tcW w:w="670" w:type="pct"/>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eastAsiaTheme="minorEastAsia"/>
                <w:color w:val="auto"/>
                <w:sz w:val="24"/>
                <w:szCs w:val="24"/>
                <w:highlight w:val="none"/>
                <w:vertAlign w:val="baseline"/>
                <w:lang w:val="en-US" w:eastAsia="zh-CN"/>
              </w:rPr>
            </w:pPr>
          </w:p>
        </w:tc>
        <w:tc>
          <w:tcPr>
            <w:tcW w:w="2160"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left"/>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实施区级海洋垃圾清理专项行动。</w:t>
            </w:r>
          </w:p>
        </w:tc>
        <w:tc>
          <w:tcPr>
            <w:tcW w:w="72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2027年完成</w:t>
            </w:r>
          </w:p>
        </w:tc>
        <w:tc>
          <w:tcPr>
            <w:tcW w:w="11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区生态环境局、区水务局（海洋局）、区绿化市容局、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eastAsia" w:ascii="Times New Roman" w:hAnsi="Times New Roman" w:cs="Times New Roman" w:eastAsiaTheme="minorEastAsia"/>
                <w:i w:val="0"/>
                <w:iCs w:val="0"/>
                <w:color w:val="auto"/>
                <w:kern w:val="0"/>
                <w:sz w:val="24"/>
                <w:szCs w:val="24"/>
                <w:highlight w:val="none"/>
                <w:u w:val="none"/>
                <w:lang w:val="en-US" w:eastAsia="zh-CN" w:bidi="ar"/>
              </w:rPr>
              <w:t>26</w:t>
            </w:r>
          </w:p>
        </w:tc>
        <w:tc>
          <w:tcPr>
            <w:tcW w:w="670" w:type="pct"/>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eastAsiaTheme="minorEastAsia"/>
                <w:color w:val="auto"/>
                <w:sz w:val="24"/>
                <w:szCs w:val="24"/>
                <w:highlight w:val="none"/>
                <w:vertAlign w:val="baseline"/>
                <w:lang w:val="en-US" w:eastAsia="zh-CN"/>
              </w:rPr>
            </w:pPr>
          </w:p>
        </w:tc>
        <w:tc>
          <w:tcPr>
            <w:tcW w:w="2160"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left"/>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杭州湾奉贤段美丽海湾建设。</w:t>
            </w:r>
          </w:p>
        </w:tc>
        <w:tc>
          <w:tcPr>
            <w:tcW w:w="72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2027年基本完成</w:t>
            </w:r>
          </w:p>
        </w:tc>
        <w:tc>
          <w:tcPr>
            <w:tcW w:w="11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区生态环境局、区水务局（海洋局）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eastAsia" w:ascii="Times New Roman" w:hAnsi="Times New Roman" w:cs="Times New Roman" w:eastAsiaTheme="minorEastAsia"/>
                <w:i w:val="0"/>
                <w:iCs w:val="0"/>
                <w:color w:val="auto"/>
                <w:kern w:val="0"/>
                <w:sz w:val="24"/>
                <w:szCs w:val="24"/>
                <w:highlight w:val="none"/>
                <w:u w:val="none"/>
                <w:lang w:val="en-US" w:eastAsia="zh-CN" w:bidi="ar"/>
              </w:rPr>
              <w:t>27</w:t>
            </w:r>
          </w:p>
        </w:tc>
        <w:tc>
          <w:tcPr>
            <w:tcW w:w="670" w:type="pct"/>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eastAsiaTheme="minorEastAsia"/>
                <w:color w:val="auto"/>
                <w:sz w:val="24"/>
                <w:szCs w:val="24"/>
                <w:highlight w:val="none"/>
                <w:vertAlign w:val="baseline"/>
                <w:lang w:val="en-US" w:eastAsia="zh-CN"/>
              </w:rPr>
            </w:pPr>
          </w:p>
        </w:tc>
        <w:tc>
          <w:tcPr>
            <w:tcW w:w="2160"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left"/>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基本完成南桥镇原欧泊公司地块治理修复。</w:t>
            </w:r>
          </w:p>
        </w:tc>
        <w:tc>
          <w:tcPr>
            <w:tcW w:w="72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2026年完成</w:t>
            </w:r>
          </w:p>
        </w:tc>
        <w:tc>
          <w:tcPr>
            <w:tcW w:w="11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eastAsia" w:ascii="Times New Roman" w:hAnsi="Times New Roman" w:cs="Times New Roman" w:eastAsiaTheme="minorEastAsia"/>
                <w:i w:val="0"/>
                <w:iCs w:val="0"/>
                <w:color w:val="auto"/>
                <w:kern w:val="0"/>
                <w:sz w:val="24"/>
                <w:szCs w:val="24"/>
                <w:highlight w:val="none"/>
                <w:u w:val="none"/>
                <w:lang w:val="en-US" w:eastAsia="zh-CN" w:bidi="ar"/>
              </w:rPr>
              <w:t>28</w:t>
            </w:r>
          </w:p>
        </w:tc>
        <w:tc>
          <w:tcPr>
            <w:tcW w:w="670" w:type="pct"/>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eastAsiaTheme="minorEastAsia"/>
                <w:color w:val="auto"/>
                <w:sz w:val="24"/>
                <w:szCs w:val="24"/>
                <w:highlight w:val="none"/>
                <w:vertAlign w:val="baseline"/>
                <w:lang w:val="en-US" w:eastAsia="zh-CN"/>
              </w:rPr>
            </w:pPr>
          </w:p>
        </w:tc>
        <w:tc>
          <w:tcPr>
            <w:tcW w:w="2160"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left"/>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开展耕地土壤环境质量定点监测。</w:t>
            </w:r>
          </w:p>
        </w:tc>
        <w:tc>
          <w:tcPr>
            <w:tcW w:w="72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持续推进</w:t>
            </w:r>
          </w:p>
        </w:tc>
        <w:tc>
          <w:tcPr>
            <w:tcW w:w="11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区农业农村委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eastAsia" w:ascii="Times New Roman" w:hAnsi="Times New Roman" w:cs="Times New Roman" w:eastAsiaTheme="minorEastAsia"/>
                <w:i w:val="0"/>
                <w:iCs w:val="0"/>
                <w:color w:val="auto"/>
                <w:kern w:val="0"/>
                <w:sz w:val="24"/>
                <w:szCs w:val="24"/>
                <w:highlight w:val="none"/>
                <w:u w:val="none"/>
                <w:lang w:val="en-US" w:eastAsia="zh-CN" w:bidi="ar"/>
              </w:rPr>
              <w:t>29</w:t>
            </w:r>
          </w:p>
        </w:tc>
        <w:tc>
          <w:tcPr>
            <w:tcW w:w="670" w:type="pct"/>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eastAsiaTheme="minorEastAsia"/>
                <w:color w:val="auto"/>
                <w:sz w:val="24"/>
                <w:szCs w:val="24"/>
                <w:highlight w:val="none"/>
                <w:vertAlign w:val="baseline"/>
                <w:lang w:val="en-US" w:eastAsia="zh-CN"/>
              </w:rPr>
            </w:pPr>
          </w:p>
        </w:tc>
        <w:tc>
          <w:tcPr>
            <w:tcW w:w="2160"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left"/>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海湾镇现代生态繁育基地改造项目。</w:t>
            </w:r>
          </w:p>
        </w:tc>
        <w:tc>
          <w:tcPr>
            <w:tcW w:w="72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2027年完成</w:t>
            </w:r>
          </w:p>
        </w:tc>
        <w:tc>
          <w:tcPr>
            <w:tcW w:w="11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海湾镇政府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eastAsia" w:ascii="Times New Roman" w:hAnsi="Times New Roman" w:cs="Times New Roman" w:eastAsiaTheme="minorEastAsia"/>
                <w:i w:val="0"/>
                <w:iCs w:val="0"/>
                <w:color w:val="auto"/>
                <w:kern w:val="0"/>
                <w:sz w:val="24"/>
                <w:szCs w:val="24"/>
                <w:highlight w:val="none"/>
                <w:u w:val="none"/>
                <w:lang w:val="en-US" w:eastAsia="zh-CN" w:bidi="ar"/>
              </w:rPr>
              <w:t>30</w:t>
            </w:r>
          </w:p>
        </w:tc>
        <w:tc>
          <w:tcPr>
            <w:tcW w:w="670" w:type="pct"/>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eastAsiaTheme="minorEastAsia"/>
                <w:color w:val="auto"/>
                <w:sz w:val="24"/>
                <w:szCs w:val="24"/>
                <w:highlight w:val="none"/>
                <w:vertAlign w:val="baseline"/>
                <w:lang w:val="en-US" w:eastAsia="zh-CN"/>
              </w:rPr>
            </w:pPr>
          </w:p>
        </w:tc>
        <w:tc>
          <w:tcPr>
            <w:tcW w:w="2160"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left"/>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新建1座建筑垃圾资源化利用处置中心（年处理量40万吨）。</w:t>
            </w:r>
          </w:p>
        </w:tc>
        <w:tc>
          <w:tcPr>
            <w:tcW w:w="72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2030年完成</w:t>
            </w:r>
          </w:p>
        </w:tc>
        <w:tc>
          <w:tcPr>
            <w:tcW w:w="11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区绿化市容局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eastAsia" w:ascii="Times New Roman" w:hAnsi="Times New Roman" w:cs="Times New Roman" w:eastAsiaTheme="minorEastAsia"/>
                <w:i w:val="0"/>
                <w:iCs w:val="0"/>
                <w:color w:val="auto"/>
                <w:kern w:val="0"/>
                <w:sz w:val="24"/>
                <w:szCs w:val="24"/>
                <w:highlight w:val="none"/>
                <w:u w:val="none"/>
                <w:lang w:val="en-US" w:eastAsia="zh-CN" w:bidi="ar"/>
              </w:rPr>
              <w:t>31</w:t>
            </w:r>
          </w:p>
        </w:tc>
        <w:tc>
          <w:tcPr>
            <w:tcW w:w="670" w:type="pct"/>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eastAsiaTheme="minorEastAsia"/>
                <w:color w:val="auto"/>
                <w:sz w:val="24"/>
                <w:szCs w:val="24"/>
                <w:highlight w:val="none"/>
                <w:vertAlign w:val="baseline"/>
                <w:lang w:val="en-US" w:eastAsia="zh-CN"/>
              </w:rPr>
            </w:pPr>
          </w:p>
        </w:tc>
        <w:tc>
          <w:tcPr>
            <w:tcW w:w="2160"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left"/>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开展化学物质统计调查工作。</w:t>
            </w:r>
          </w:p>
        </w:tc>
        <w:tc>
          <w:tcPr>
            <w:tcW w:w="72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持续推进</w:t>
            </w:r>
          </w:p>
        </w:tc>
        <w:tc>
          <w:tcPr>
            <w:tcW w:w="11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eastAsia" w:ascii="Times New Roman" w:hAnsi="Times New Roman" w:cs="Times New Roman" w:eastAsiaTheme="minorEastAsia"/>
                <w:color w:val="auto"/>
                <w:kern w:val="2"/>
                <w:sz w:val="24"/>
                <w:szCs w:val="24"/>
                <w:highlight w:val="none"/>
                <w:vertAlign w:val="baseline"/>
                <w:lang w:val="en-US" w:eastAsia="zh-CN" w:bidi="ar-SA"/>
              </w:rPr>
              <w:t>32</w:t>
            </w:r>
          </w:p>
        </w:tc>
        <w:tc>
          <w:tcPr>
            <w:tcW w:w="670" w:type="pct"/>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eastAsiaTheme="minorEastAsia"/>
                <w:color w:val="auto"/>
                <w:sz w:val="24"/>
                <w:szCs w:val="24"/>
                <w:highlight w:val="none"/>
                <w:vertAlign w:val="baseline"/>
                <w:lang w:val="en-US" w:eastAsia="zh-CN"/>
              </w:rPr>
            </w:pPr>
            <w:r>
              <w:rPr>
                <w:rFonts w:hint="default" w:ascii="Times New Roman" w:hAnsi="Times New Roman" w:cs="Times New Roman" w:eastAsiaTheme="minorEastAsia"/>
                <w:color w:val="auto"/>
                <w:sz w:val="24"/>
                <w:szCs w:val="24"/>
                <w:highlight w:val="none"/>
                <w:vertAlign w:val="baseline"/>
                <w:lang w:val="en-US" w:eastAsia="zh-CN"/>
              </w:rPr>
              <w:t>强化绿色基底，筑牢城乡自然生态屏障</w:t>
            </w:r>
          </w:p>
        </w:tc>
        <w:tc>
          <w:tcPr>
            <w:tcW w:w="2160"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left"/>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eastAsiaTheme="minorEastAsia"/>
                <w:i w:val="0"/>
                <w:iCs w:val="0"/>
                <w:color w:val="auto"/>
                <w:kern w:val="0"/>
                <w:sz w:val="24"/>
                <w:szCs w:val="24"/>
                <w:highlight w:val="none"/>
                <w:u w:val="none"/>
                <w:lang w:val="en-US" w:eastAsia="zh-CN" w:bidi="ar"/>
              </w:rPr>
              <w:t>落实生态环境分区管控要求。</w:t>
            </w:r>
          </w:p>
        </w:tc>
        <w:tc>
          <w:tcPr>
            <w:tcW w:w="72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eastAsiaTheme="minorEastAsia"/>
                <w:color w:val="auto"/>
                <w:kern w:val="2"/>
                <w:sz w:val="24"/>
                <w:szCs w:val="24"/>
                <w:highlight w:val="none"/>
                <w:vertAlign w:val="baseline"/>
                <w:lang w:val="en-US" w:eastAsia="zh-CN" w:bidi="ar-SA"/>
              </w:rPr>
              <w:t>持续推进</w:t>
            </w:r>
          </w:p>
        </w:tc>
        <w:tc>
          <w:tcPr>
            <w:tcW w:w="11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区生态环境局、区规划资源局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eastAsia" w:ascii="Times New Roman" w:hAnsi="Times New Roman" w:cs="Times New Roman" w:eastAsiaTheme="minorEastAsia"/>
                <w:color w:val="auto"/>
                <w:kern w:val="2"/>
                <w:sz w:val="24"/>
                <w:szCs w:val="24"/>
                <w:highlight w:val="none"/>
                <w:vertAlign w:val="baseline"/>
                <w:lang w:val="en-US" w:eastAsia="zh-CN" w:bidi="ar-SA"/>
              </w:rPr>
              <w:t>33</w:t>
            </w:r>
          </w:p>
        </w:tc>
        <w:tc>
          <w:tcPr>
            <w:tcW w:w="670" w:type="pct"/>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eastAsiaTheme="minorEastAsia"/>
                <w:color w:val="auto"/>
                <w:sz w:val="24"/>
                <w:szCs w:val="24"/>
                <w:highlight w:val="none"/>
                <w:vertAlign w:val="baseline"/>
                <w:lang w:val="en-US" w:eastAsia="zh-CN"/>
              </w:rPr>
            </w:pPr>
          </w:p>
        </w:tc>
        <w:tc>
          <w:tcPr>
            <w:tcW w:w="2160"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left"/>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实现奉贤新城绿环贯通。</w:t>
            </w:r>
          </w:p>
        </w:tc>
        <w:tc>
          <w:tcPr>
            <w:tcW w:w="72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2027年完成</w:t>
            </w:r>
          </w:p>
        </w:tc>
        <w:tc>
          <w:tcPr>
            <w:tcW w:w="11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区绿化市容局、区新城办、区规划资源局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eastAsia" w:ascii="Times New Roman" w:hAnsi="Times New Roman" w:cs="Times New Roman" w:eastAsiaTheme="minorEastAsia"/>
                <w:color w:val="auto"/>
                <w:kern w:val="2"/>
                <w:sz w:val="24"/>
                <w:szCs w:val="24"/>
                <w:highlight w:val="none"/>
                <w:vertAlign w:val="baseline"/>
                <w:lang w:val="en-US" w:eastAsia="zh-CN" w:bidi="ar-SA"/>
              </w:rPr>
              <w:t>34</w:t>
            </w:r>
          </w:p>
        </w:tc>
        <w:tc>
          <w:tcPr>
            <w:tcW w:w="670" w:type="pct"/>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eastAsiaTheme="minorEastAsia"/>
                <w:color w:val="auto"/>
                <w:sz w:val="24"/>
                <w:szCs w:val="24"/>
                <w:highlight w:val="none"/>
                <w:vertAlign w:val="baseline"/>
                <w:lang w:val="en-US" w:eastAsia="zh-CN"/>
              </w:rPr>
            </w:pPr>
          </w:p>
        </w:tc>
        <w:tc>
          <w:tcPr>
            <w:tcW w:w="2160"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left"/>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新建改建公园30座；建设公共绿地50公顷。</w:t>
            </w:r>
          </w:p>
        </w:tc>
        <w:tc>
          <w:tcPr>
            <w:tcW w:w="724"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color w:val="auto"/>
                <w:sz w:val="24"/>
                <w:szCs w:val="24"/>
                <w:highlight w:val="none"/>
                <w:vertAlign w:val="baseline"/>
                <w:lang w:val="en-US" w:eastAsia="zh-CN"/>
              </w:rPr>
            </w:pPr>
            <w:r>
              <w:rPr>
                <w:rFonts w:hint="default" w:ascii="Times New Roman" w:hAnsi="Times New Roman" w:cs="Times New Roman" w:eastAsiaTheme="minorEastAsia"/>
                <w:i w:val="0"/>
                <w:iCs w:val="0"/>
                <w:color w:val="auto"/>
                <w:kern w:val="0"/>
                <w:sz w:val="24"/>
                <w:szCs w:val="24"/>
                <w:highlight w:val="none"/>
                <w:u w:val="none"/>
                <w:lang w:val="en-US" w:eastAsia="zh-CN" w:bidi="ar"/>
              </w:rPr>
              <w:t>2030年完成</w:t>
            </w:r>
          </w:p>
        </w:tc>
        <w:tc>
          <w:tcPr>
            <w:tcW w:w="1131"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color w:val="auto"/>
                <w:sz w:val="24"/>
                <w:szCs w:val="24"/>
                <w:highlight w:val="none"/>
                <w:vertAlign w:val="baseline"/>
                <w:lang w:val="en-US" w:eastAsia="zh-CN"/>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区绿化市容局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eastAsia" w:ascii="Times New Roman" w:hAnsi="Times New Roman" w:cs="Times New Roman" w:eastAsiaTheme="minorEastAsia"/>
                <w:color w:val="auto"/>
                <w:kern w:val="2"/>
                <w:sz w:val="24"/>
                <w:szCs w:val="24"/>
                <w:highlight w:val="none"/>
                <w:vertAlign w:val="baseline"/>
                <w:lang w:val="en-US" w:eastAsia="zh-CN" w:bidi="ar-SA"/>
              </w:rPr>
              <w:t>35</w:t>
            </w:r>
          </w:p>
        </w:tc>
        <w:tc>
          <w:tcPr>
            <w:tcW w:w="670" w:type="pct"/>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eastAsiaTheme="minorEastAsia"/>
                <w:color w:val="auto"/>
                <w:sz w:val="24"/>
                <w:szCs w:val="24"/>
                <w:highlight w:val="none"/>
                <w:vertAlign w:val="baseline"/>
                <w:lang w:val="en-US" w:eastAsia="zh-CN"/>
              </w:rPr>
            </w:pPr>
          </w:p>
        </w:tc>
        <w:tc>
          <w:tcPr>
            <w:tcW w:w="2160"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left"/>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建设绿道50公里。</w:t>
            </w:r>
          </w:p>
        </w:tc>
        <w:tc>
          <w:tcPr>
            <w:tcW w:w="724"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color w:val="auto"/>
                <w:sz w:val="24"/>
                <w:szCs w:val="24"/>
                <w:highlight w:val="none"/>
                <w:vertAlign w:val="baseline"/>
                <w:lang w:val="en-US" w:eastAsia="zh-CN"/>
              </w:rPr>
            </w:pPr>
            <w:r>
              <w:rPr>
                <w:rFonts w:hint="default" w:ascii="Times New Roman" w:hAnsi="Times New Roman" w:cs="Times New Roman" w:eastAsiaTheme="minorEastAsia"/>
                <w:i w:val="0"/>
                <w:iCs w:val="0"/>
                <w:color w:val="auto"/>
                <w:kern w:val="0"/>
                <w:sz w:val="24"/>
                <w:szCs w:val="24"/>
                <w:highlight w:val="none"/>
                <w:u w:val="none"/>
                <w:lang w:val="en-US" w:eastAsia="zh-CN" w:bidi="ar"/>
              </w:rPr>
              <w:t>2030年完成</w:t>
            </w:r>
          </w:p>
        </w:tc>
        <w:tc>
          <w:tcPr>
            <w:tcW w:w="1131"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color w:val="auto"/>
                <w:sz w:val="24"/>
                <w:szCs w:val="24"/>
                <w:highlight w:val="none"/>
                <w:vertAlign w:val="baseline"/>
                <w:lang w:val="en-US" w:eastAsia="zh-CN"/>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区绿化市容局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eastAsia" w:ascii="Times New Roman" w:hAnsi="Times New Roman" w:cs="Times New Roman" w:eastAsiaTheme="minorEastAsia"/>
                <w:color w:val="auto"/>
                <w:kern w:val="2"/>
                <w:sz w:val="24"/>
                <w:szCs w:val="24"/>
                <w:highlight w:val="none"/>
                <w:vertAlign w:val="baseline"/>
                <w:lang w:val="en-US" w:eastAsia="zh-CN" w:bidi="ar-SA"/>
              </w:rPr>
              <w:t>36</w:t>
            </w:r>
          </w:p>
        </w:tc>
        <w:tc>
          <w:tcPr>
            <w:tcW w:w="670" w:type="pct"/>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eastAsiaTheme="minorEastAsia"/>
                <w:color w:val="auto"/>
                <w:sz w:val="24"/>
                <w:szCs w:val="24"/>
                <w:highlight w:val="none"/>
                <w:vertAlign w:val="baseline"/>
                <w:lang w:val="en-US" w:eastAsia="zh-CN"/>
              </w:rPr>
            </w:pPr>
          </w:p>
        </w:tc>
        <w:tc>
          <w:tcPr>
            <w:tcW w:w="2160"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left"/>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建设立体绿化7.5公顷。</w:t>
            </w:r>
          </w:p>
        </w:tc>
        <w:tc>
          <w:tcPr>
            <w:tcW w:w="724"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color w:val="auto"/>
                <w:sz w:val="24"/>
                <w:szCs w:val="24"/>
                <w:highlight w:val="none"/>
                <w:vertAlign w:val="baseline"/>
                <w:lang w:val="en-US" w:eastAsia="zh-CN"/>
              </w:rPr>
            </w:pPr>
            <w:r>
              <w:rPr>
                <w:rFonts w:hint="default" w:ascii="Times New Roman" w:hAnsi="Times New Roman" w:cs="Times New Roman" w:eastAsiaTheme="minorEastAsia"/>
                <w:i w:val="0"/>
                <w:iCs w:val="0"/>
                <w:color w:val="auto"/>
                <w:kern w:val="0"/>
                <w:sz w:val="24"/>
                <w:szCs w:val="24"/>
                <w:highlight w:val="none"/>
                <w:u w:val="none"/>
                <w:lang w:val="en-US" w:eastAsia="zh-CN" w:bidi="ar"/>
              </w:rPr>
              <w:t>2030年完成</w:t>
            </w:r>
          </w:p>
        </w:tc>
        <w:tc>
          <w:tcPr>
            <w:tcW w:w="1131"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color w:val="auto"/>
                <w:sz w:val="24"/>
                <w:szCs w:val="24"/>
                <w:highlight w:val="none"/>
                <w:vertAlign w:val="baseline"/>
                <w:lang w:val="en-US" w:eastAsia="zh-CN"/>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区绿化市容局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eastAsia" w:ascii="Times New Roman" w:hAnsi="Times New Roman" w:cs="Times New Roman" w:eastAsiaTheme="minorEastAsia"/>
                <w:color w:val="auto"/>
                <w:kern w:val="2"/>
                <w:sz w:val="24"/>
                <w:szCs w:val="24"/>
                <w:highlight w:val="none"/>
                <w:vertAlign w:val="baseline"/>
                <w:lang w:val="en-US" w:eastAsia="zh-CN" w:bidi="ar-SA"/>
              </w:rPr>
              <w:t>37</w:t>
            </w:r>
          </w:p>
        </w:tc>
        <w:tc>
          <w:tcPr>
            <w:tcW w:w="670" w:type="pct"/>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eastAsiaTheme="minorEastAsia"/>
                <w:color w:val="auto"/>
                <w:sz w:val="24"/>
                <w:szCs w:val="24"/>
                <w:highlight w:val="none"/>
                <w:vertAlign w:val="baseline"/>
                <w:lang w:val="en-US" w:eastAsia="zh-CN"/>
              </w:rPr>
            </w:pPr>
          </w:p>
        </w:tc>
        <w:tc>
          <w:tcPr>
            <w:tcW w:w="2160"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left"/>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eastAsiaTheme="minorEastAsia"/>
                <w:i w:val="0"/>
                <w:iCs w:val="0"/>
                <w:color w:val="auto"/>
                <w:kern w:val="0"/>
                <w:sz w:val="24"/>
                <w:szCs w:val="24"/>
                <w:highlight w:val="none"/>
                <w:u w:val="none"/>
                <w:lang w:val="en-US" w:eastAsia="zh-CN" w:bidi="ar"/>
              </w:rPr>
              <w:t>推进野生动物栖息地修复和规范化建设（2个）。</w:t>
            </w:r>
          </w:p>
        </w:tc>
        <w:tc>
          <w:tcPr>
            <w:tcW w:w="72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eastAsiaTheme="minorEastAsia"/>
                <w:i w:val="0"/>
                <w:iCs w:val="0"/>
                <w:color w:val="auto"/>
                <w:kern w:val="0"/>
                <w:sz w:val="24"/>
                <w:szCs w:val="24"/>
                <w:highlight w:val="none"/>
                <w:u w:val="none"/>
                <w:lang w:val="en-US" w:eastAsia="zh-CN" w:bidi="ar"/>
              </w:rPr>
              <w:t>2026年完成</w:t>
            </w:r>
          </w:p>
        </w:tc>
        <w:tc>
          <w:tcPr>
            <w:tcW w:w="11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区绿化市容局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eastAsia" w:ascii="Times New Roman" w:hAnsi="Times New Roman" w:cs="Times New Roman" w:eastAsiaTheme="minorEastAsia"/>
                <w:color w:val="auto"/>
                <w:kern w:val="2"/>
                <w:sz w:val="24"/>
                <w:szCs w:val="24"/>
                <w:highlight w:val="none"/>
                <w:vertAlign w:val="baseline"/>
                <w:lang w:val="en-US" w:eastAsia="zh-CN" w:bidi="ar-SA"/>
              </w:rPr>
              <w:t>38</w:t>
            </w:r>
          </w:p>
        </w:tc>
        <w:tc>
          <w:tcPr>
            <w:tcW w:w="670" w:type="pct"/>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eastAsiaTheme="minorEastAsia"/>
                <w:color w:val="auto"/>
                <w:sz w:val="24"/>
                <w:szCs w:val="24"/>
                <w:highlight w:val="none"/>
                <w:vertAlign w:val="baseline"/>
                <w:lang w:val="en-US" w:eastAsia="zh-CN"/>
              </w:rPr>
            </w:pPr>
          </w:p>
        </w:tc>
        <w:tc>
          <w:tcPr>
            <w:tcW w:w="2160"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left"/>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巩固推广缓释肥应用面积3万亩次、病虫害绿色防控技术示范面积</w:t>
            </w:r>
            <w:r>
              <w:rPr>
                <w:rStyle w:val="48"/>
                <w:rFonts w:hint="default" w:ascii="Times New Roman" w:hAnsi="Times New Roman" w:cs="Times New Roman" w:eastAsiaTheme="minorEastAsia"/>
                <w:color w:val="auto"/>
                <w:sz w:val="24"/>
                <w:szCs w:val="24"/>
                <w:highlight w:val="none"/>
                <w:lang w:val="en-US" w:eastAsia="zh-CN" w:bidi="ar"/>
              </w:rPr>
              <w:t>2万亩</w:t>
            </w:r>
          </w:p>
        </w:tc>
        <w:tc>
          <w:tcPr>
            <w:tcW w:w="72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持续推进</w:t>
            </w:r>
          </w:p>
        </w:tc>
        <w:tc>
          <w:tcPr>
            <w:tcW w:w="11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区农业农村委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eastAsia" w:ascii="Times New Roman" w:hAnsi="Times New Roman" w:cs="Times New Roman" w:eastAsiaTheme="minorEastAsia"/>
                <w:color w:val="auto"/>
                <w:kern w:val="2"/>
                <w:sz w:val="24"/>
                <w:szCs w:val="24"/>
                <w:highlight w:val="none"/>
                <w:vertAlign w:val="baseline"/>
                <w:lang w:val="en-US" w:eastAsia="zh-CN" w:bidi="ar-SA"/>
              </w:rPr>
              <w:t>39</w:t>
            </w:r>
          </w:p>
        </w:tc>
        <w:tc>
          <w:tcPr>
            <w:tcW w:w="670" w:type="pct"/>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eastAsiaTheme="minorEastAsia"/>
                <w:color w:val="auto"/>
                <w:sz w:val="24"/>
                <w:szCs w:val="24"/>
                <w:highlight w:val="none"/>
                <w:vertAlign w:val="baseline"/>
                <w:lang w:val="en-US" w:eastAsia="zh-CN"/>
              </w:rPr>
            </w:pPr>
          </w:p>
        </w:tc>
        <w:tc>
          <w:tcPr>
            <w:tcW w:w="2160"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left"/>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完成1600亩水产养殖场尾水治理设施建设和改造</w:t>
            </w:r>
          </w:p>
        </w:tc>
        <w:tc>
          <w:tcPr>
            <w:tcW w:w="72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2030年完成</w:t>
            </w:r>
          </w:p>
        </w:tc>
        <w:tc>
          <w:tcPr>
            <w:tcW w:w="11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区农业农村委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eastAsia" w:ascii="Times New Roman" w:hAnsi="Times New Roman" w:cs="Times New Roman" w:eastAsiaTheme="minorEastAsia"/>
                <w:i w:val="0"/>
                <w:iCs w:val="0"/>
                <w:color w:val="auto"/>
                <w:kern w:val="0"/>
                <w:sz w:val="24"/>
                <w:szCs w:val="24"/>
                <w:highlight w:val="none"/>
                <w:u w:val="none"/>
                <w:lang w:val="en-US" w:eastAsia="zh-CN" w:bidi="ar"/>
              </w:rPr>
              <w:t>40</w:t>
            </w:r>
          </w:p>
        </w:tc>
        <w:tc>
          <w:tcPr>
            <w:tcW w:w="670" w:type="pct"/>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eastAsiaTheme="minorEastAsia"/>
                <w:color w:val="auto"/>
                <w:sz w:val="24"/>
                <w:szCs w:val="24"/>
                <w:highlight w:val="none"/>
                <w:vertAlign w:val="baseline"/>
                <w:lang w:val="en-US" w:eastAsia="zh-CN"/>
              </w:rPr>
            </w:pPr>
          </w:p>
        </w:tc>
        <w:tc>
          <w:tcPr>
            <w:tcW w:w="2160"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left"/>
              <w:textAlignment w:val="center"/>
              <w:rPr>
                <w:rFonts w:hint="default" w:ascii="Times New Roman" w:hAnsi="Times New Roman" w:cs="Times New Roman" w:eastAsiaTheme="minorEastAsia"/>
                <w:color w:val="auto"/>
                <w:sz w:val="24"/>
                <w:szCs w:val="24"/>
                <w:highlight w:val="none"/>
                <w:vertAlign w:val="baseline"/>
                <w:lang w:val="en-US" w:eastAsia="zh-CN"/>
              </w:rPr>
            </w:pPr>
            <w:r>
              <w:rPr>
                <w:rFonts w:hint="default" w:ascii="Times New Roman" w:hAnsi="Times New Roman" w:cs="Times New Roman" w:eastAsiaTheme="minorEastAsia"/>
                <w:color w:val="auto"/>
                <w:sz w:val="24"/>
                <w:szCs w:val="24"/>
                <w:highlight w:val="none"/>
                <w:vertAlign w:val="baseline"/>
                <w:lang w:val="en-US" w:eastAsia="zh-CN"/>
              </w:rPr>
              <w:t>开展一批“五好两宜”和美乡村建设。</w:t>
            </w:r>
          </w:p>
        </w:tc>
        <w:tc>
          <w:tcPr>
            <w:tcW w:w="724"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color w:val="auto"/>
                <w:sz w:val="24"/>
                <w:szCs w:val="24"/>
                <w:highlight w:val="none"/>
                <w:vertAlign w:val="baseline"/>
                <w:lang w:val="en-US" w:eastAsia="zh-CN"/>
              </w:rPr>
            </w:pPr>
            <w:r>
              <w:rPr>
                <w:rFonts w:hint="default" w:ascii="Times New Roman" w:hAnsi="Times New Roman" w:cs="Times New Roman" w:eastAsiaTheme="minorEastAsia"/>
                <w:i w:val="0"/>
                <w:iCs w:val="0"/>
                <w:color w:val="auto"/>
                <w:kern w:val="0"/>
                <w:sz w:val="24"/>
                <w:szCs w:val="24"/>
                <w:highlight w:val="none"/>
                <w:u w:val="none"/>
                <w:lang w:val="en-US" w:eastAsia="zh-CN" w:bidi="ar"/>
              </w:rPr>
              <w:t>持续推进</w:t>
            </w:r>
          </w:p>
        </w:tc>
        <w:tc>
          <w:tcPr>
            <w:tcW w:w="1131"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color w:val="auto"/>
                <w:sz w:val="24"/>
                <w:szCs w:val="24"/>
                <w:highlight w:val="none"/>
                <w:vertAlign w:val="baseline"/>
                <w:lang w:val="en-US" w:eastAsia="zh-CN"/>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区农业农村委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eastAsia" w:ascii="Times New Roman" w:hAnsi="Times New Roman" w:cs="Times New Roman" w:eastAsiaTheme="minorEastAsia"/>
                <w:i w:val="0"/>
                <w:iCs w:val="0"/>
                <w:color w:val="auto"/>
                <w:kern w:val="0"/>
                <w:sz w:val="24"/>
                <w:szCs w:val="24"/>
                <w:highlight w:val="none"/>
                <w:u w:val="none"/>
                <w:lang w:val="en-US" w:eastAsia="zh-CN" w:bidi="ar"/>
              </w:rPr>
              <w:t>41</w:t>
            </w:r>
          </w:p>
        </w:tc>
        <w:tc>
          <w:tcPr>
            <w:tcW w:w="670" w:type="pct"/>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eastAsiaTheme="minorEastAsia"/>
                <w:color w:val="auto"/>
                <w:sz w:val="24"/>
                <w:szCs w:val="24"/>
                <w:highlight w:val="none"/>
                <w:vertAlign w:val="baseline"/>
                <w:lang w:val="en-US" w:eastAsia="zh-CN"/>
              </w:rPr>
            </w:pPr>
          </w:p>
        </w:tc>
        <w:tc>
          <w:tcPr>
            <w:tcW w:w="2160"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left"/>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eastAsiaTheme="minorEastAsia"/>
                <w:color w:val="auto"/>
                <w:sz w:val="24"/>
                <w:szCs w:val="24"/>
                <w:highlight w:val="none"/>
                <w:vertAlign w:val="baseline"/>
                <w:lang w:val="en-US" w:eastAsia="zh-CN"/>
              </w:rPr>
              <w:t>整区推进美丽乡村建设。</w:t>
            </w:r>
          </w:p>
        </w:tc>
        <w:tc>
          <w:tcPr>
            <w:tcW w:w="72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eastAsiaTheme="minorEastAsia"/>
                <w:color w:val="auto"/>
                <w:sz w:val="24"/>
                <w:szCs w:val="24"/>
                <w:highlight w:val="none"/>
                <w:vertAlign w:val="baseline"/>
                <w:lang w:val="en-US" w:eastAsia="zh-CN"/>
              </w:rPr>
              <w:t>2027年完成</w:t>
            </w:r>
          </w:p>
        </w:tc>
        <w:tc>
          <w:tcPr>
            <w:tcW w:w="11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eastAsia" w:ascii="Times New Roman" w:hAnsi="Times New Roman" w:cs="Times New Roman" w:eastAsiaTheme="minorEastAsia"/>
                <w:i w:val="0"/>
                <w:iCs w:val="0"/>
                <w:color w:val="auto"/>
                <w:kern w:val="0"/>
                <w:sz w:val="24"/>
                <w:szCs w:val="24"/>
                <w:highlight w:val="none"/>
                <w:u w:val="none"/>
                <w:lang w:val="en-US" w:eastAsia="zh-CN" w:bidi="ar"/>
              </w:rPr>
              <w:t>42</w:t>
            </w:r>
          </w:p>
        </w:tc>
        <w:tc>
          <w:tcPr>
            <w:tcW w:w="670" w:type="pct"/>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eastAsiaTheme="minorEastAsia"/>
                <w:color w:val="auto"/>
                <w:sz w:val="24"/>
                <w:szCs w:val="24"/>
                <w:highlight w:val="none"/>
                <w:vertAlign w:val="baseline"/>
                <w:lang w:val="en-US" w:eastAsia="zh-CN"/>
              </w:rPr>
            </w:pPr>
            <w:r>
              <w:rPr>
                <w:rFonts w:hint="default" w:ascii="Times New Roman" w:hAnsi="Times New Roman" w:cs="Times New Roman" w:eastAsiaTheme="minorEastAsia"/>
                <w:color w:val="auto"/>
                <w:sz w:val="24"/>
                <w:szCs w:val="24"/>
                <w:highlight w:val="none"/>
                <w:vertAlign w:val="baseline"/>
                <w:lang w:val="en-US" w:eastAsia="zh-CN"/>
              </w:rPr>
              <w:t>坚守生态安全风险底线，提升区域风险防控水平</w:t>
            </w:r>
          </w:p>
        </w:tc>
        <w:tc>
          <w:tcPr>
            <w:tcW w:w="2160"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left"/>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eastAsiaTheme="minorEastAsia"/>
                <w:i w:val="0"/>
                <w:iCs w:val="0"/>
                <w:color w:val="auto"/>
                <w:kern w:val="0"/>
                <w:sz w:val="24"/>
                <w:szCs w:val="24"/>
                <w:highlight w:val="none"/>
                <w:u w:val="none"/>
                <w:lang w:val="en-US" w:eastAsia="zh-CN" w:bidi="ar"/>
              </w:rPr>
              <w:t>推进化工园区环境风险“一河（园）一策一图”。</w:t>
            </w:r>
          </w:p>
        </w:tc>
        <w:tc>
          <w:tcPr>
            <w:tcW w:w="72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eastAsiaTheme="minorEastAsia"/>
                <w:i w:val="0"/>
                <w:iCs w:val="0"/>
                <w:color w:val="auto"/>
                <w:kern w:val="0"/>
                <w:sz w:val="24"/>
                <w:szCs w:val="24"/>
                <w:highlight w:val="none"/>
                <w:u w:val="none"/>
                <w:lang w:val="en-US" w:eastAsia="zh-CN" w:bidi="ar"/>
              </w:rPr>
              <w:t>2026年实现化工园区全覆盖</w:t>
            </w:r>
          </w:p>
        </w:tc>
        <w:tc>
          <w:tcPr>
            <w:tcW w:w="11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区生态环境局、区水务局（海洋局）、区应急局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eastAsia" w:ascii="Times New Roman" w:hAnsi="Times New Roman" w:cs="Times New Roman" w:eastAsiaTheme="minorEastAsia"/>
                <w:color w:val="auto"/>
                <w:kern w:val="2"/>
                <w:sz w:val="24"/>
                <w:szCs w:val="24"/>
                <w:highlight w:val="none"/>
                <w:vertAlign w:val="baseline"/>
                <w:lang w:val="en-US" w:eastAsia="zh-CN" w:bidi="ar-SA"/>
              </w:rPr>
              <w:t>43</w:t>
            </w:r>
          </w:p>
        </w:tc>
        <w:tc>
          <w:tcPr>
            <w:tcW w:w="670" w:type="pct"/>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eastAsiaTheme="minorEastAsia"/>
                <w:color w:val="auto"/>
                <w:sz w:val="24"/>
                <w:szCs w:val="24"/>
                <w:highlight w:val="none"/>
                <w:vertAlign w:val="baseline"/>
                <w:lang w:val="en-US" w:eastAsia="zh-CN"/>
              </w:rPr>
            </w:pPr>
          </w:p>
        </w:tc>
        <w:tc>
          <w:tcPr>
            <w:tcW w:w="2160"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left"/>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初步建成多层次多元化环境应急物资储备体系，完成2个以上社会化环境应急资源库建设。</w:t>
            </w:r>
          </w:p>
        </w:tc>
        <w:tc>
          <w:tcPr>
            <w:tcW w:w="72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eastAsiaTheme="minorEastAsia"/>
                <w:i w:val="0"/>
                <w:iCs w:val="0"/>
                <w:color w:val="auto"/>
                <w:kern w:val="0"/>
                <w:sz w:val="24"/>
                <w:szCs w:val="24"/>
                <w:highlight w:val="none"/>
                <w:u w:val="none"/>
                <w:lang w:val="en-US" w:eastAsia="zh-CN" w:bidi="ar"/>
              </w:rPr>
              <w:t>2026年完成</w:t>
            </w:r>
          </w:p>
        </w:tc>
        <w:tc>
          <w:tcPr>
            <w:tcW w:w="11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区生态环境局、区水务局（海洋局）、区应急局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eastAsia" w:ascii="Times New Roman" w:hAnsi="Times New Roman" w:cs="Times New Roman" w:eastAsiaTheme="minorEastAsia"/>
                <w:color w:val="auto"/>
                <w:kern w:val="2"/>
                <w:sz w:val="24"/>
                <w:szCs w:val="24"/>
                <w:highlight w:val="none"/>
                <w:vertAlign w:val="baseline"/>
                <w:lang w:val="en-US" w:eastAsia="zh-CN" w:bidi="ar-SA"/>
              </w:rPr>
              <w:t>44</w:t>
            </w:r>
          </w:p>
        </w:tc>
        <w:tc>
          <w:tcPr>
            <w:tcW w:w="670" w:type="pct"/>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eastAsiaTheme="minorEastAsia"/>
                <w:color w:val="auto"/>
                <w:sz w:val="24"/>
                <w:szCs w:val="24"/>
                <w:highlight w:val="none"/>
                <w:vertAlign w:val="baseline"/>
                <w:lang w:val="en-US" w:eastAsia="zh-CN"/>
              </w:rPr>
            </w:pPr>
          </w:p>
        </w:tc>
        <w:tc>
          <w:tcPr>
            <w:tcW w:w="2160"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left"/>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eastAsiaTheme="minorEastAsia"/>
                <w:i w:val="0"/>
                <w:iCs w:val="0"/>
                <w:color w:val="auto"/>
                <w:kern w:val="0"/>
                <w:sz w:val="24"/>
                <w:szCs w:val="24"/>
                <w:highlight w:val="none"/>
                <w:u w:val="none"/>
                <w:lang w:val="en-US" w:eastAsia="zh-CN" w:bidi="ar"/>
              </w:rPr>
              <w:t>推进高风险移动放射源在线监控系统升级改造。</w:t>
            </w:r>
          </w:p>
        </w:tc>
        <w:tc>
          <w:tcPr>
            <w:tcW w:w="72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eastAsiaTheme="minorEastAsia"/>
                <w:i w:val="0"/>
                <w:iCs w:val="0"/>
                <w:color w:val="auto"/>
                <w:kern w:val="0"/>
                <w:sz w:val="24"/>
                <w:szCs w:val="24"/>
                <w:highlight w:val="none"/>
                <w:u w:val="none"/>
                <w:lang w:val="en-US" w:eastAsia="zh-CN" w:bidi="ar"/>
              </w:rPr>
              <w:t>2026年完成</w:t>
            </w:r>
          </w:p>
        </w:tc>
        <w:tc>
          <w:tcPr>
            <w:tcW w:w="11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区生态环境局、区数据局、区公安分局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eastAsia" w:ascii="Times New Roman" w:hAnsi="Times New Roman" w:cs="Times New Roman" w:eastAsiaTheme="minorEastAsia"/>
                <w:color w:val="auto"/>
                <w:kern w:val="2"/>
                <w:sz w:val="24"/>
                <w:szCs w:val="24"/>
                <w:highlight w:val="none"/>
                <w:vertAlign w:val="baseline"/>
                <w:lang w:val="en-US" w:eastAsia="zh-CN" w:bidi="ar-SA"/>
              </w:rPr>
              <w:t>45</w:t>
            </w:r>
          </w:p>
        </w:tc>
        <w:tc>
          <w:tcPr>
            <w:tcW w:w="670" w:type="pct"/>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eastAsiaTheme="minorEastAsia"/>
                <w:color w:val="auto"/>
                <w:sz w:val="24"/>
                <w:szCs w:val="24"/>
                <w:highlight w:val="none"/>
                <w:vertAlign w:val="baseline"/>
                <w:lang w:val="en-US" w:eastAsia="zh-CN"/>
              </w:rPr>
            </w:pPr>
          </w:p>
        </w:tc>
        <w:tc>
          <w:tcPr>
            <w:tcW w:w="2160"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left"/>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eastAsiaTheme="minorEastAsia"/>
                <w:i w:val="0"/>
                <w:iCs w:val="0"/>
                <w:color w:val="auto"/>
                <w:kern w:val="0"/>
                <w:sz w:val="24"/>
                <w:szCs w:val="24"/>
                <w:highlight w:val="none"/>
                <w:u w:val="none"/>
                <w:lang w:val="en-US" w:eastAsia="zh-CN" w:bidi="ar"/>
              </w:rPr>
              <w:t>推进奉贤区气候宜居城市建设试点。</w:t>
            </w:r>
          </w:p>
        </w:tc>
        <w:tc>
          <w:tcPr>
            <w:tcW w:w="72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Style w:val="49"/>
                <w:rFonts w:hint="default" w:ascii="Times New Roman" w:hAnsi="Times New Roman" w:cs="Times New Roman" w:eastAsiaTheme="minorEastAsia"/>
                <w:color w:val="auto"/>
                <w:sz w:val="24"/>
                <w:szCs w:val="24"/>
                <w:highlight w:val="none"/>
                <w:lang w:val="en-US" w:eastAsia="zh-CN" w:bidi="ar"/>
              </w:rPr>
              <w:t>2026</w:t>
            </w:r>
            <w:r>
              <w:rPr>
                <w:rFonts w:hint="default" w:ascii="Times New Roman" w:hAnsi="Times New Roman" w:cs="Times New Roman" w:eastAsiaTheme="minorEastAsia"/>
                <w:i w:val="0"/>
                <w:iCs w:val="0"/>
                <w:color w:val="auto"/>
                <w:kern w:val="0"/>
                <w:sz w:val="24"/>
                <w:szCs w:val="24"/>
                <w:highlight w:val="none"/>
                <w:u w:val="none"/>
                <w:lang w:val="en-US" w:eastAsia="zh-CN" w:bidi="ar"/>
              </w:rPr>
              <w:t>年完成</w:t>
            </w:r>
          </w:p>
        </w:tc>
        <w:tc>
          <w:tcPr>
            <w:tcW w:w="11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区气象局、区水务局（海洋局）、区绿化市容局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eastAsia" w:ascii="Times New Roman" w:hAnsi="Times New Roman" w:cs="Times New Roman" w:eastAsiaTheme="minorEastAsia"/>
                <w:color w:val="auto"/>
                <w:kern w:val="2"/>
                <w:sz w:val="24"/>
                <w:szCs w:val="24"/>
                <w:highlight w:val="none"/>
                <w:vertAlign w:val="baseline"/>
                <w:lang w:val="en-US" w:eastAsia="zh-CN" w:bidi="ar-SA"/>
              </w:rPr>
              <w:t>46</w:t>
            </w:r>
          </w:p>
        </w:tc>
        <w:tc>
          <w:tcPr>
            <w:tcW w:w="670" w:type="pct"/>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eastAsiaTheme="minorEastAsia"/>
                <w:color w:val="auto"/>
                <w:sz w:val="24"/>
                <w:szCs w:val="24"/>
                <w:highlight w:val="none"/>
                <w:vertAlign w:val="baseline"/>
                <w:lang w:val="en-US" w:eastAsia="zh-CN"/>
              </w:rPr>
            </w:pPr>
          </w:p>
        </w:tc>
        <w:tc>
          <w:tcPr>
            <w:tcW w:w="2160"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left"/>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eastAsiaTheme="minorEastAsia"/>
                <w:i w:val="0"/>
                <w:iCs w:val="0"/>
                <w:color w:val="auto"/>
                <w:kern w:val="0"/>
                <w:sz w:val="24"/>
                <w:szCs w:val="24"/>
                <w:highlight w:val="none"/>
                <w:u w:val="none"/>
                <w:lang w:val="en-US" w:eastAsia="zh-CN" w:bidi="ar"/>
              </w:rPr>
              <w:t>打造16个海绵城市建设示范项目。</w:t>
            </w:r>
          </w:p>
        </w:tc>
        <w:tc>
          <w:tcPr>
            <w:tcW w:w="72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Style w:val="49"/>
                <w:rFonts w:hint="default" w:ascii="Times New Roman" w:hAnsi="Times New Roman" w:cs="Times New Roman" w:eastAsiaTheme="minorEastAsia"/>
                <w:color w:val="auto"/>
                <w:sz w:val="24"/>
                <w:szCs w:val="24"/>
                <w:highlight w:val="none"/>
                <w:lang w:val="en-US" w:eastAsia="zh-CN" w:bidi="ar"/>
              </w:rPr>
              <w:t>2026</w:t>
            </w:r>
            <w:r>
              <w:rPr>
                <w:rFonts w:hint="default" w:ascii="Times New Roman" w:hAnsi="Times New Roman" w:cs="Times New Roman" w:eastAsiaTheme="minorEastAsia"/>
                <w:i w:val="0"/>
                <w:iCs w:val="0"/>
                <w:color w:val="auto"/>
                <w:kern w:val="0"/>
                <w:sz w:val="24"/>
                <w:szCs w:val="24"/>
                <w:highlight w:val="none"/>
                <w:u w:val="none"/>
                <w:lang w:val="en-US" w:eastAsia="zh-CN" w:bidi="ar"/>
              </w:rPr>
              <w:t>年完成</w:t>
            </w:r>
          </w:p>
        </w:tc>
        <w:tc>
          <w:tcPr>
            <w:tcW w:w="11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区建设管理委（区交通委）、区水务局（海洋局）、区绿化市容局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eastAsia" w:ascii="Times New Roman" w:hAnsi="Times New Roman" w:cs="Times New Roman" w:eastAsiaTheme="minorEastAsia"/>
                <w:color w:val="auto"/>
                <w:kern w:val="2"/>
                <w:sz w:val="24"/>
                <w:szCs w:val="24"/>
                <w:highlight w:val="none"/>
                <w:vertAlign w:val="baseline"/>
                <w:lang w:val="en-US" w:eastAsia="zh-CN" w:bidi="ar-SA"/>
              </w:rPr>
              <w:t>47</w:t>
            </w:r>
          </w:p>
        </w:tc>
        <w:tc>
          <w:tcPr>
            <w:tcW w:w="670" w:type="pct"/>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eastAsiaTheme="minorEastAsia"/>
                <w:color w:val="auto"/>
                <w:sz w:val="24"/>
                <w:szCs w:val="24"/>
                <w:highlight w:val="none"/>
                <w:vertAlign w:val="baseline"/>
                <w:lang w:val="en-US" w:eastAsia="zh-CN"/>
              </w:rPr>
            </w:pPr>
          </w:p>
        </w:tc>
        <w:tc>
          <w:tcPr>
            <w:tcW w:w="2160"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left"/>
              <w:textAlignment w:val="center"/>
              <w:rPr>
                <w:rFonts w:hint="default" w:ascii="Times New Roman" w:hAnsi="Times New Roman" w:cs="Times New Roman" w:eastAsiaTheme="minorEastAsia"/>
                <w:color w:val="auto"/>
                <w:sz w:val="24"/>
                <w:szCs w:val="24"/>
                <w:highlight w:val="none"/>
                <w:vertAlign w:val="baseline"/>
                <w:lang w:val="en-US" w:eastAsia="zh-CN"/>
              </w:rPr>
            </w:pPr>
            <w:r>
              <w:rPr>
                <w:rFonts w:hint="default" w:ascii="Times New Roman" w:hAnsi="Times New Roman" w:cs="Times New Roman" w:eastAsiaTheme="minorEastAsia"/>
                <w:color w:val="auto"/>
                <w:sz w:val="24"/>
                <w:szCs w:val="24"/>
                <w:highlight w:val="none"/>
                <w:vertAlign w:val="baseline"/>
                <w:lang w:val="en-US" w:eastAsia="zh-CN"/>
              </w:rPr>
              <w:t>开展气候生态环境监测。</w:t>
            </w:r>
          </w:p>
        </w:tc>
        <w:tc>
          <w:tcPr>
            <w:tcW w:w="724"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color w:val="auto"/>
                <w:sz w:val="24"/>
                <w:szCs w:val="24"/>
                <w:highlight w:val="none"/>
                <w:vertAlign w:val="baseline"/>
                <w:lang w:val="en-US" w:eastAsia="zh-CN"/>
              </w:rPr>
            </w:pPr>
            <w:r>
              <w:rPr>
                <w:rFonts w:hint="default" w:ascii="Times New Roman" w:hAnsi="Times New Roman" w:cs="Times New Roman" w:eastAsiaTheme="minorEastAsia"/>
                <w:i w:val="0"/>
                <w:iCs w:val="0"/>
                <w:color w:val="auto"/>
                <w:kern w:val="0"/>
                <w:sz w:val="24"/>
                <w:szCs w:val="24"/>
                <w:highlight w:val="none"/>
                <w:u w:val="none"/>
                <w:lang w:val="en-US" w:eastAsia="zh-CN" w:bidi="ar"/>
              </w:rPr>
              <w:t>持续推进</w:t>
            </w:r>
          </w:p>
        </w:tc>
        <w:tc>
          <w:tcPr>
            <w:tcW w:w="1131" w:type="pct"/>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color w:val="auto"/>
                <w:sz w:val="24"/>
                <w:szCs w:val="24"/>
                <w:highlight w:val="none"/>
                <w:vertAlign w:val="baseline"/>
                <w:lang w:val="en-US" w:eastAsia="zh-CN"/>
              </w:rPr>
            </w:pPr>
            <w:r>
              <w:rPr>
                <w:rFonts w:hint="default" w:ascii="Times New Roman" w:hAnsi="Times New Roman" w:cs="Times New Roman" w:eastAsiaTheme="minorEastAsia"/>
                <w:color w:val="auto"/>
                <w:sz w:val="24"/>
                <w:szCs w:val="24"/>
                <w:highlight w:val="none"/>
                <w:vertAlign w:val="baseline"/>
                <w:lang w:val="en-US" w:eastAsia="zh-CN"/>
              </w:rPr>
              <w:t>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eastAsia" w:ascii="Times New Roman" w:hAnsi="Times New Roman" w:cs="Times New Roman" w:eastAsiaTheme="minorEastAsia"/>
                <w:color w:val="auto"/>
                <w:kern w:val="2"/>
                <w:sz w:val="24"/>
                <w:szCs w:val="24"/>
                <w:highlight w:val="none"/>
                <w:vertAlign w:val="baseline"/>
                <w:lang w:val="en-US" w:eastAsia="zh-CN" w:bidi="ar-SA"/>
              </w:rPr>
              <w:t>48</w:t>
            </w:r>
          </w:p>
        </w:tc>
        <w:tc>
          <w:tcPr>
            <w:tcW w:w="670" w:type="pct"/>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eastAsiaTheme="minorEastAsia"/>
                <w:color w:val="auto"/>
                <w:sz w:val="24"/>
                <w:szCs w:val="24"/>
                <w:highlight w:val="none"/>
                <w:vertAlign w:val="baseline"/>
                <w:lang w:val="en-US" w:eastAsia="zh-CN"/>
              </w:rPr>
            </w:pPr>
            <w:r>
              <w:rPr>
                <w:rFonts w:hint="default" w:ascii="Times New Roman" w:hAnsi="Times New Roman" w:cs="Times New Roman" w:eastAsiaTheme="minorEastAsia"/>
                <w:color w:val="auto"/>
                <w:sz w:val="24"/>
                <w:szCs w:val="24"/>
                <w:highlight w:val="none"/>
                <w:vertAlign w:val="baseline"/>
                <w:lang w:val="en-US" w:eastAsia="zh-CN"/>
              </w:rPr>
              <w:t>深化监管机制体制，健全现代环境治理体系</w:t>
            </w:r>
          </w:p>
        </w:tc>
        <w:tc>
          <w:tcPr>
            <w:tcW w:w="2160"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left"/>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落实上海排污权有偿使用和交易制度。</w:t>
            </w:r>
          </w:p>
        </w:tc>
        <w:tc>
          <w:tcPr>
            <w:tcW w:w="72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2026年完成</w:t>
            </w:r>
          </w:p>
        </w:tc>
        <w:tc>
          <w:tcPr>
            <w:tcW w:w="11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区生态环境局、区规划资源局、区发展改革委、区财政局、区税务局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shd w:val="clear" w:color="auto" w:fill="auto"/>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center"/>
              <w:textAlignment w:val="center"/>
              <w:rPr>
                <w:rFonts w:hint="default" w:ascii="Times New Roman" w:hAnsi="Times New Roman" w:cs="Times New Roman" w:eastAsiaTheme="minorEastAsia"/>
                <w:color w:val="auto"/>
                <w:kern w:val="2"/>
                <w:sz w:val="24"/>
                <w:szCs w:val="24"/>
                <w:highlight w:val="none"/>
                <w:vertAlign w:val="baseline"/>
                <w:lang w:val="en-US" w:eastAsia="zh-CN" w:bidi="ar-SA"/>
              </w:rPr>
            </w:pPr>
            <w:r>
              <w:rPr>
                <w:rFonts w:hint="eastAsia" w:ascii="Times New Roman" w:hAnsi="Times New Roman" w:cs="Times New Roman" w:eastAsiaTheme="minorEastAsia"/>
                <w:color w:val="auto"/>
                <w:kern w:val="2"/>
                <w:sz w:val="24"/>
                <w:szCs w:val="24"/>
                <w:highlight w:val="none"/>
                <w:vertAlign w:val="baseline"/>
                <w:lang w:val="en-US" w:eastAsia="zh-CN" w:bidi="ar-SA"/>
              </w:rPr>
              <w:t>49</w:t>
            </w:r>
          </w:p>
        </w:tc>
        <w:tc>
          <w:tcPr>
            <w:tcW w:w="670" w:type="pct"/>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eastAsiaTheme="minorEastAsia"/>
                <w:color w:val="auto"/>
                <w:sz w:val="24"/>
                <w:szCs w:val="24"/>
                <w:highlight w:val="none"/>
                <w:vertAlign w:val="baseline"/>
                <w:lang w:val="en-US" w:eastAsia="zh-CN"/>
              </w:rPr>
            </w:pPr>
          </w:p>
        </w:tc>
        <w:tc>
          <w:tcPr>
            <w:tcW w:w="2160"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left"/>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金海街道“空天地”一体化、全天候、分钟级响应的生态环境监管体系建设。</w:t>
            </w:r>
          </w:p>
        </w:tc>
        <w:tc>
          <w:tcPr>
            <w:tcW w:w="72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2030年完成</w:t>
            </w:r>
          </w:p>
        </w:tc>
        <w:tc>
          <w:tcPr>
            <w:tcW w:w="11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金海街道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center"/>
              <w:textAlignment w:val="center"/>
              <w:rPr>
                <w:rFonts w:hint="default" w:ascii="Times New Roman" w:hAnsi="Times New Roman" w:cs="Times New Roman" w:eastAsiaTheme="minorEastAsia"/>
                <w:color w:val="auto"/>
                <w:sz w:val="24"/>
                <w:szCs w:val="24"/>
                <w:highlight w:val="none"/>
                <w:vertAlign w:val="baseline"/>
                <w:lang w:val="en-US" w:eastAsia="zh-CN"/>
              </w:rPr>
            </w:pPr>
            <w:r>
              <w:rPr>
                <w:rFonts w:hint="eastAsia" w:ascii="Times New Roman" w:hAnsi="Times New Roman" w:cs="Times New Roman" w:eastAsiaTheme="minorEastAsia"/>
                <w:color w:val="auto"/>
                <w:sz w:val="24"/>
                <w:szCs w:val="24"/>
                <w:highlight w:val="none"/>
                <w:vertAlign w:val="baseline"/>
                <w:lang w:val="en-US" w:eastAsia="zh-CN"/>
              </w:rPr>
              <w:t>50</w:t>
            </w:r>
          </w:p>
        </w:tc>
        <w:tc>
          <w:tcPr>
            <w:tcW w:w="670" w:type="pct"/>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cs="Times New Roman" w:eastAsiaTheme="minorEastAsia"/>
                <w:color w:val="auto"/>
                <w:sz w:val="24"/>
                <w:szCs w:val="24"/>
                <w:highlight w:val="none"/>
                <w:vertAlign w:val="baseline"/>
                <w:lang w:val="en-US" w:eastAsia="zh-CN"/>
              </w:rPr>
            </w:pPr>
          </w:p>
        </w:tc>
        <w:tc>
          <w:tcPr>
            <w:tcW w:w="2160"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left"/>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头桥街道环保设施安全专项提升项目。</w:t>
            </w:r>
          </w:p>
        </w:tc>
        <w:tc>
          <w:tcPr>
            <w:tcW w:w="724"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2030年完成</w:t>
            </w:r>
          </w:p>
        </w:tc>
        <w:tc>
          <w:tcPr>
            <w:tcW w:w="1131"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头桥街道</w:t>
            </w:r>
          </w:p>
        </w:tc>
      </w:tr>
    </w:tbl>
    <w:p>
      <w:pPr>
        <w:pStyle w:val="3"/>
        <w:numPr>
          <w:ilvl w:val="0"/>
          <w:numId w:val="0"/>
        </w:numPr>
        <w:rPr>
          <w:rFonts w:hint="default" w:ascii="Times New Roman" w:hAnsi="Times New Roman" w:cs="Times New Roman"/>
          <w:color w:val="auto"/>
          <w:lang w:val="en-US" w:eastAsia="zh-CN"/>
        </w:rPr>
      </w:pPr>
    </w:p>
    <w:sectPr>
      <w:pgSz w:w="16838" w:h="11906" w:orient="landscape"/>
      <w:pgMar w:top="1803" w:right="1440" w:bottom="1803" w:left="1440" w:header="851" w:footer="992" w:gutter="0"/>
      <w:cols w:space="0" w:num="1"/>
      <w:rtlGutter w:val="0"/>
      <w:docGrid w:type="lines" w:linePitch="4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星仿宋">
    <w:altName w:val="仿宋"/>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Nimbus Roman No9 L">
    <w:panose1 w:val="00000000000000000000"/>
    <w:charset w:val="00"/>
    <w:family w:val="auto"/>
    <w:pitch w:val="default"/>
    <w:sig w:usb0="00000000" w:usb1="00000000" w:usb2="00000000" w:usb3="00000000" w:csb0="00000000" w:csb1="00000000"/>
  </w:font>
  <w:font w:name="Droid Sans Fallback">
    <w:panose1 w:val="020B0502000000000001"/>
    <w:charset w:val="86"/>
    <w:family w:val="auto"/>
    <w:pitch w:val="default"/>
    <w:sig w:usb0="910002FF" w:usb1="2BDFFCFB" w:usb2="00000036" w:usb3="00000000" w:csb0="203F01FF" w:csb1="D7FF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v6PlLAIAAFU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">
              <v:fill on="f" focussize="0,0"/>
              <v:stroke on="f" weight="0.5pt"/>
              <v:imagedata o:title=""/>
              <o:lock v:ext="edit" aspectratio="f"/>
              <v:textbox inset="0mm,0mm,0mm,0mm" style="mso-fit-shape-to-text:t;">
                <w:txbxContent>
                  <w:p>
                    <w:pPr>
                      <w:pStyle w:val="17"/>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00"/>
      </w:pPr>
      <w:r>
        <w:separator/>
      </w:r>
    </w:p>
  </w:footnote>
  <w:footnote w:type="continuationSeparator" w:id="1">
    <w:p>
      <w:pPr>
        <w:spacing w:line="360" w:lineRule="auto"/>
        <w:ind w:firstLine="60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FFCFC4"/>
    <w:multiLevelType w:val="singleLevel"/>
    <w:tmpl w:val="A3FFCFC4"/>
    <w:lvl w:ilvl="0" w:tentative="0">
      <w:start w:val="1"/>
      <w:numFmt w:val="chineseCounting"/>
      <w:pStyle w:val="3"/>
      <w:suff w:val="nothing"/>
      <w:lvlText w:val="（%1）"/>
      <w:lvlJc w:val="left"/>
      <w:rPr>
        <w:rFonts w:hint="eastAsia"/>
      </w:rPr>
    </w:lvl>
  </w:abstractNum>
  <w:abstractNum w:abstractNumId="1">
    <w:nsid w:val="34E5417A"/>
    <w:multiLevelType w:val="multilevel"/>
    <w:tmpl w:val="34E5417A"/>
    <w:lvl w:ilvl="0" w:tentative="0">
      <w:start w:val="1"/>
      <w:numFmt w:val="chineseCountingThousand"/>
      <w:pStyle w:val="2"/>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422E426A"/>
    <w:multiLevelType w:val="singleLevel"/>
    <w:tmpl w:val="422E426A"/>
    <w:lvl w:ilvl="0" w:tentative="0">
      <w:start w:val="1"/>
      <w:numFmt w:val="decimal"/>
      <w:pStyle w:val="4"/>
      <w:suff w:val="space"/>
      <w:lvlText w:val="%1."/>
      <w:lvlJc w:val="left"/>
    </w:lvl>
  </w:abstractNum>
  <w:abstractNum w:abstractNumId="3">
    <w:nsid w:val="47337ECB"/>
    <w:multiLevelType w:val="multilevel"/>
    <w:tmpl w:val="47337ECB"/>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4">
    <w:nsid w:val="49EAD9F4"/>
    <w:multiLevelType w:val="singleLevel"/>
    <w:tmpl w:val="49EAD9F4"/>
    <w:lvl w:ilvl="0" w:tentative="0">
      <w:start w:val="1"/>
      <w:numFmt w:val="decimal"/>
      <w:suff w:val="space"/>
      <w:lvlText w:val="%1."/>
      <w:lvlJc w:val="left"/>
    </w:lvl>
  </w:abstractNum>
  <w:num w:numId="1">
    <w:abstractNumId w:val="1"/>
  </w:num>
  <w:num w:numId="2">
    <w:abstractNumId w:val="0"/>
  </w:num>
  <w:num w:numId="3">
    <w:abstractNumId w:val="2"/>
  </w:num>
  <w:num w:numId="4">
    <w:abstractNumId w:val="3"/>
  </w:num>
  <w:num w:numId="5">
    <w:abstractNumId w:val="0"/>
    <w:lvlOverride w:ilvl="0">
      <w:startOverride w:val="1"/>
    </w:lvlOverride>
  </w:num>
  <w:num w:numId="6">
    <w:abstractNumId w:val="0"/>
    <w:lvlOverride w:ilvl="0">
      <w:startOverride w:val="1"/>
    </w:lvlOverride>
  </w:num>
  <w:num w:numId="7">
    <w:abstractNumId w:val="2"/>
    <w:lvlOverride w:ilvl="0">
      <w:startOverride w:val="1"/>
    </w:lvlOverride>
  </w:num>
  <w:num w:numId="8">
    <w:abstractNumId w:val="4"/>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208"/>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wNzc3NjM2MWVlMTZmNjVkMzFkNGUxNTJjNWVlZDYifQ=="/>
  </w:docVars>
  <w:rsids>
    <w:rsidRoot w:val="00F64E8B"/>
    <w:rsid w:val="00043CEE"/>
    <w:rsid w:val="001D0866"/>
    <w:rsid w:val="003263C7"/>
    <w:rsid w:val="003C4508"/>
    <w:rsid w:val="004C0523"/>
    <w:rsid w:val="005205C6"/>
    <w:rsid w:val="00533315"/>
    <w:rsid w:val="00535A83"/>
    <w:rsid w:val="00545626"/>
    <w:rsid w:val="00560DC2"/>
    <w:rsid w:val="005E2E17"/>
    <w:rsid w:val="006B04F0"/>
    <w:rsid w:val="00A10991"/>
    <w:rsid w:val="00A44F5C"/>
    <w:rsid w:val="00AF15F0"/>
    <w:rsid w:val="00B112AD"/>
    <w:rsid w:val="00BB0F57"/>
    <w:rsid w:val="00C7078B"/>
    <w:rsid w:val="00D37656"/>
    <w:rsid w:val="00E638E0"/>
    <w:rsid w:val="00E83746"/>
    <w:rsid w:val="00F64E8B"/>
    <w:rsid w:val="00FF30F3"/>
    <w:rsid w:val="03810298"/>
    <w:rsid w:val="040000C7"/>
    <w:rsid w:val="04EF60EF"/>
    <w:rsid w:val="052C0AEF"/>
    <w:rsid w:val="052F2A11"/>
    <w:rsid w:val="05A90CE3"/>
    <w:rsid w:val="064217FF"/>
    <w:rsid w:val="06C413AC"/>
    <w:rsid w:val="06DA626F"/>
    <w:rsid w:val="079052BE"/>
    <w:rsid w:val="07F764CA"/>
    <w:rsid w:val="08A63FD2"/>
    <w:rsid w:val="09372474"/>
    <w:rsid w:val="09F4432B"/>
    <w:rsid w:val="0A057BA9"/>
    <w:rsid w:val="0A572E95"/>
    <w:rsid w:val="0A785072"/>
    <w:rsid w:val="0B0B4989"/>
    <w:rsid w:val="0B264183"/>
    <w:rsid w:val="0BF5934B"/>
    <w:rsid w:val="0C7D4527"/>
    <w:rsid w:val="0CCB60CE"/>
    <w:rsid w:val="0CFF716D"/>
    <w:rsid w:val="0D765198"/>
    <w:rsid w:val="0DCE1532"/>
    <w:rsid w:val="0DEF74D2"/>
    <w:rsid w:val="0DEF8A19"/>
    <w:rsid w:val="0E6C6851"/>
    <w:rsid w:val="0E7B3F3C"/>
    <w:rsid w:val="0E9872D6"/>
    <w:rsid w:val="0F5673F2"/>
    <w:rsid w:val="0FF2361D"/>
    <w:rsid w:val="10AB4F16"/>
    <w:rsid w:val="10D162FE"/>
    <w:rsid w:val="11317B11"/>
    <w:rsid w:val="11370572"/>
    <w:rsid w:val="115C210E"/>
    <w:rsid w:val="11FF0517"/>
    <w:rsid w:val="12B15EBF"/>
    <w:rsid w:val="133C7504"/>
    <w:rsid w:val="139D3F67"/>
    <w:rsid w:val="13EE442D"/>
    <w:rsid w:val="14B34452"/>
    <w:rsid w:val="14D47116"/>
    <w:rsid w:val="14FF764F"/>
    <w:rsid w:val="15BBA764"/>
    <w:rsid w:val="16EF2706"/>
    <w:rsid w:val="16FF2B21"/>
    <w:rsid w:val="18472CE9"/>
    <w:rsid w:val="18DB3095"/>
    <w:rsid w:val="1A096725"/>
    <w:rsid w:val="1A11649D"/>
    <w:rsid w:val="1A642D06"/>
    <w:rsid w:val="1ABE2013"/>
    <w:rsid w:val="1ACF2B42"/>
    <w:rsid w:val="1ADEF6C2"/>
    <w:rsid w:val="1AF8347B"/>
    <w:rsid w:val="1B4F4624"/>
    <w:rsid w:val="1B7F3D2A"/>
    <w:rsid w:val="1BE532FB"/>
    <w:rsid w:val="1C1F6B45"/>
    <w:rsid w:val="1C382C4E"/>
    <w:rsid w:val="1D436C02"/>
    <w:rsid w:val="1D6C6D8D"/>
    <w:rsid w:val="1DA85CE8"/>
    <w:rsid w:val="1DBA2C3C"/>
    <w:rsid w:val="1DCA3AD2"/>
    <w:rsid w:val="1DE0221A"/>
    <w:rsid w:val="1DF443A0"/>
    <w:rsid w:val="1E360515"/>
    <w:rsid w:val="1E3D0A28"/>
    <w:rsid w:val="1E8E65A3"/>
    <w:rsid w:val="1EB71D59"/>
    <w:rsid w:val="1F882FF2"/>
    <w:rsid w:val="1FF56145"/>
    <w:rsid w:val="1FFF824F"/>
    <w:rsid w:val="23A44173"/>
    <w:rsid w:val="24973593"/>
    <w:rsid w:val="24C745BD"/>
    <w:rsid w:val="25C14CBC"/>
    <w:rsid w:val="25FA5AB9"/>
    <w:rsid w:val="269175C1"/>
    <w:rsid w:val="26CFC188"/>
    <w:rsid w:val="270F21DE"/>
    <w:rsid w:val="272B78C0"/>
    <w:rsid w:val="276A0460"/>
    <w:rsid w:val="27933723"/>
    <w:rsid w:val="299F4383"/>
    <w:rsid w:val="29B715FC"/>
    <w:rsid w:val="2A9E02FA"/>
    <w:rsid w:val="2ACE71ED"/>
    <w:rsid w:val="2AD21DA4"/>
    <w:rsid w:val="2B9F4384"/>
    <w:rsid w:val="2BBF873C"/>
    <w:rsid w:val="2D1C4D7A"/>
    <w:rsid w:val="2D4C4102"/>
    <w:rsid w:val="2D5C42E2"/>
    <w:rsid w:val="2D8A353A"/>
    <w:rsid w:val="2D963C58"/>
    <w:rsid w:val="2DD3144C"/>
    <w:rsid w:val="2E291E44"/>
    <w:rsid w:val="2E332894"/>
    <w:rsid w:val="2EFF562C"/>
    <w:rsid w:val="2FFBC9BC"/>
    <w:rsid w:val="2FFF51CD"/>
    <w:rsid w:val="30B360F4"/>
    <w:rsid w:val="31025E73"/>
    <w:rsid w:val="310E0E7D"/>
    <w:rsid w:val="31A52484"/>
    <w:rsid w:val="31F66798"/>
    <w:rsid w:val="31FB4045"/>
    <w:rsid w:val="32715B68"/>
    <w:rsid w:val="32EB591A"/>
    <w:rsid w:val="3344502A"/>
    <w:rsid w:val="336011D5"/>
    <w:rsid w:val="33CD2241"/>
    <w:rsid w:val="341C4BD5"/>
    <w:rsid w:val="344F1ED9"/>
    <w:rsid w:val="351C1387"/>
    <w:rsid w:val="35946F9B"/>
    <w:rsid w:val="359C7656"/>
    <w:rsid w:val="35D501BC"/>
    <w:rsid w:val="35F6257A"/>
    <w:rsid w:val="370016DD"/>
    <w:rsid w:val="37C33D8F"/>
    <w:rsid w:val="37C92E1A"/>
    <w:rsid w:val="37EFCD9D"/>
    <w:rsid w:val="37FA89DC"/>
    <w:rsid w:val="384F6DEF"/>
    <w:rsid w:val="391537E4"/>
    <w:rsid w:val="39C22B93"/>
    <w:rsid w:val="3AD81E8B"/>
    <w:rsid w:val="3AEEA964"/>
    <w:rsid w:val="3B8D5571"/>
    <w:rsid w:val="3BCE1DAA"/>
    <w:rsid w:val="3BF3C153"/>
    <w:rsid w:val="3D005720"/>
    <w:rsid w:val="3D7F36AB"/>
    <w:rsid w:val="3DA30629"/>
    <w:rsid w:val="3DBE4F57"/>
    <w:rsid w:val="3DCF2C73"/>
    <w:rsid w:val="3E277DD8"/>
    <w:rsid w:val="3E73502E"/>
    <w:rsid w:val="3EBBCDE1"/>
    <w:rsid w:val="3EFEA565"/>
    <w:rsid w:val="3F5BA6BA"/>
    <w:rsid w:val="3F7BDBB6"/>
    <w:rsid w:val="3F8EC0D0"/>
    <w:rsid w:val="3FE73E74"/>
    <w:rsid w:val="3FFC8517"/>
    <w:rsid w:val="3FFFDB4A"/>
    <w:rsid w:val="400F00E4"/>
    <w:rsid w:val="41A0255A"/>
    <w:rsid w:val="41EEF6A7"/>
    <w:rsid w:val="41FC65FA"/>
    <w:rsid w:val="42F45BAA"/>
    <w:rsid w:val="43E9037B"/>
    <w:rsid w:val="44562E10"/>
    <w:rsid w:val="449866C9"/>
    <w:rsid w:val="44C026E4"/>
    <w:rsid w:val="44C923DE"/>
    <w:rsid w:val="44CA6A95"/>
    <w:rsid w:val="45DF15F7"/>
    <w:rsid w:val="46672B38"/>
    <w:rsid w:val="46FF61CD"/>
    <w:rsid w:val="47155BE6"/>
    <w:rsid w:val="471C3E9C"/>
    <w:rsid w:val="484037DF"/>
    <w:rsid w:val="48442155"/>
    <w:rsid w:val="48CF5779"/>
    <w:rsid w:val="49E787B0"/>
    <w:rsid w:val="4A394FDE"/>
    <w:rsid w:val="4A5B2F2E"/>
    <w:rsid w:val="4A666E6C"/>
    <w:rsid w:val="4B8D7117"/>
    <w:rsid w:val="4B9746F0"/>
    <w:rsid w:val="4BEB63F7"/>
    <w:rsid w:val="4BF81284"/>
    <w:rsid w:val="4C7F6D10"/>
    <w:rsid w:val="4D4D0287"/>
    <w:rsid w:val="4D5A68B0"/>
    <w:rsid w:val="4EF4D2C0"/>
    <w:rsid w:val="4F6BF5B0"/>
    <w:rsid w:val="4FA233AD"/>
    <w:rsid w:val="4FA36330"/>
    <w:rsid w:val="4FCC1950"/>
    <w:rsid w:val="4FE12F9E"/>
    <w:rsid w:val="4FEBC5ED"/>
    <w:rsid w:val="4FF944C5"/>
    <w:rsid w:val="50E664C8"/>
    <w:rsid w:val="516D52B0"/>
    <w:rsid w:val="51CC13A3"/>
    <w:rsid w:val="532206BA"/>
    <w:rsid w:val="53430363"/>
    <w:rsid w:val="536730F1"/>
    <w:rsid w:val="539A6875"/>
    <w:rsid w:val="55DBF5FD"/>
    <w:rsid w:val="55FE8360"/>
    <w:rsid w:val="563C4C78"/>
    <w:rsid w:val="56EF2BE8"/>
    <w:rsid w:val="573EF3C4"/>
    <w:rsid w:val="573EF834"/>
    <w:rsid w:val="57BEEDCF"/>
    <w:rsid w:val="57CF3F28"/>
    <w:rsid w:val="57EFA0F0"/>
    <w:rsid w:val="57FBC3C1"/>
    <w:rsid w:val="583828D7"/>
    <w:rsid w:val="59666F01"/>
    <w:rsid w:val="599F52D1"/>
    <w:rsid w:val="59E73D0F"/>
    <w:rsid w:val="5AC07284"/>
    <w:rsid w:val="5AF71595"/>
    <w:rsid w:val="5B151B37"/>
    <w:rsid w:val="5BAF1AA7"/>
    <w:rsid w:val="5BE75913"/>
    <w:rsid w:val="5BFD3EB8"/>
    <w:rsid w:val="5BFF09FE"/>
    <w:rsid w:val="5C7A0445"/>
    <w:rsid w:val="5C7A58CF"/>
    <w:rsid w:val="5CD6BD4A"/>
    <w:rsid w:val="5D53592E"/>
    <w:rsid w:val="5D55380D"/>
    <w:rsid w:val="5D67DDCF"/>
    <w:rsid w:val="5D978923"/>
    <w:rsid w:val="5D99624C"/>
    <w:rsid w:val="5DAC2633"/>
    <w:rsid w:val="5DD363C3"/>
    <w:rsid w:val="5E2A6A74"/>
    <w:rsid w:val="5E542A28"/>
    <w:rsid w:val="5EDE8AF9"/>
    <w:rsid w:val="5EDF439A"/>
    <w:rsid w:val="5EFCC25B"/>
    <w:rsid w:val="5F1B13CB"/>
    <w:rsid w:val="5F3BC84E"/>
    <w:rsid w:val="5F9D099F"/>
    <w:rsid w:val="5FAF94C4"/>
    <w:rsid w:val="5FCB3C81"/>
    <w:rsid w:val="5FFB19F8"/>
    <w:rsid w:val="5FFDB435"/>
    <w:rsid w:val="5FFFAD8D"/>
    <w:rsid w:val="609008FA"/>
    <w:rsid w:val="60A7595D"/>
    <w:rsid w:val="61374033"/>
    <w:rsid w:val="613A3445"/>
    <w:rsid w:val="620327A0"/>
    <w:rsid w:val="62AED56A"/>
    <w:rsid w:val="63212B00"/>
    <w:rsid w:val="63EBA65F"/>
    <w:rsid w:val="63F9F790"/>
    <w:rsid w:val="643274CE"/>
    <w:rsid w:val="64C459D1"/>
    <w:rsid w:val="64DF35AC"/>
    <w:rsid w:val="656D76B2"/>
    <w:rsid w:val="656E25BE"/>
    <w:rsid w:val="656F43F9"/>
    <w:rsid w:val="65A279CD"/>
    <w:rsid w:val="65FD7865"/>
    <w:rsid w:val="6611180E"/>
    <w:rsid w:val="6628545B"/>
    <w:rsid w:val="662DBCD5"/>
    <w:rsid w:val="66803B38"/>
    <w:rsid w:val="668160F4"/>
    <w:rsid w:val="67302F6D"/>
    <w:rsid w:val="6736FDD1"/>
    <w:rsid w:val="673866ED"/>
    <w:rsid w:val="675F4055"/>
    <w:rsid w:val="67A73133"/>
    <w:rsid w:val="67AF3960"/>
    <w:rsid w:val="67DFF8CD"/>
    <w:rsid w:val="67E55650"/>
    <w:rsid w:val="67F24A7A"/>
    <w:rsid w:val="67FF90FD"/>
    <w:rsid w:val="689FC4C6"/>
    <w:rsid w:val="68C35DA1"/>
    <w:rsid w:val="69D7B9DD"/>
    <w:rsid w:val="69FD2C5E"/>
    <w:rsid w:val="69FF26D1"/>
    <w:rsid w:val="6AAF2D98"/>
    <w:rsid w:val="6B9ED115"/>
    <w:rsid w:val="6BA52DFB"/>
    <w:rsid w:val="6BDC19D6"/>
    <w:rsid w:val="6BDD299C"/>
    <w:rsid w:val="6BEE95B5"/>
    <w:rsid w:val="6C0B4A79"/>
    <w:rsid w:val="6C3D54D7"/>
    <w:rsid w:val="6C773986"/>
    <w:rsid w:val="6C8D4D71"/>
    <w:rsid w:val="6CED0FA8"/>
    <w:rsid w:val="6D7E226D"/>
    <w:rsid w:val="6D7E67F1"/>
    <w:rsid w:val="6D8D8FC6"/>
    <w:rsid w:val="6DB225B5"/>
    <w:rsid w:val="6DF71A8A"/>
    <w:rsid w:val="6DFBECBC"/>
    <w:rsid w:val="6E1D093E"/>
    <w:rsid w:val="6E63E0E7"/>
    <w:rsid w:val="6E6FA6F5"/>
    <w:rsid w:val="6EBF129A"/>
    <w:rsid w:val="6EBFE381"/>
    <w:rsid w:val="6EDFBB1B"/>
    <w:rsid w:val="6EE0751B"/>
    <w:rsid w:val="6F0350B8"/>
    <w:rsid w:val="6F115853"/>
    <w:rsid w:val="6F2DD7E7"/>
    <w:rsid w:val="6F9B5BEC"/>
    <w:rsid w:val="6FBF2CFB"/>
    <w:rsid w:val="6FC7A222"/>
    <w:rsid w:val="6FDD5A26"/>
    <w:rsid w:val="6FF3A5A8"/>
    <w:rsid w:val="6FF5D349"/>
    <w:rsid w:val="6FF6A67C"/>
    <w:rsid w:val="6FFD365F"/>
    <w:rsid w:val="6FFE369E"/>
    <w:rsid w:val="6FFF2B81"/>
    <w:rsid w:val="6FFF5220"/>
    <w:rsid w:val="6FFF5F45"/>
    <w:rsid w:val="70221B6A"/>
    <w:rsid w:val="70AD18CC"/>
    <w:rsid w:val="71760D33"/>
    <w:rsid w:val="71D07608"/>
    <w:rsid w:val="71FFE531"/>
    <w:rsid w:val="72AB6790"/>
    <w:rsid w:val="72DA7B6B"/>
    <w:rsid w:val="72F3B1C9"/>
    <w:rsid w:val="73243F55"/>
    <w:rsid w:val="73313D1E"/>
    <w:rsid w:val="7377757F"/>
    <w:rsid w:val="73B7DD1B"/>
    <w:rsid w:val="73DFB473"/>
    <w:rsid w:val="73FA8E69"/>
    <w:rsid w:val="73FB2F08"/>
    <w:rsid w:val="75385F49"/>
    <w:rsid w:val="75530B22"/>
    <w:rsid w:val="755F3EF0"/>
    <w:rsid w:val="75A71A11"/>
    <w:rsid w:val="75EF4CE9"/>
    <w:rsid w:val="75F55DEB"/>
    <w:rsid w:val="75FB4AD2"/>
    <w:rsid w:val="767AD7FD"/>
    <w:rsid w:val="767B3BCB"/>
    <w:rsid w:val="76A019F6"/>
    <w:rsid w:val="76DB434F"/>
    <w:rsid w:val="76F7DB9F"/>
    <w:rsid w:val="76FB1021"/>
    <w:rsid w:val="76FD2AF3"/>
    <w:rsid w:val="76FF7E61"/>
    <w:rsid w:val="77612801"/>
    <w:rsid w:val="777B688D"/>
    <w:rsid w:val="777FA16C"/>
    <w:rsid w:val="77FD7398"/>
    <w:rsid w:val="77FF5461"/>
    <w:rsid w:val="783301A4"/>
    <w:rsid w:val="78EE1F91"/>
    <w:rsid w:val="791E565D"/>
    <w:rsid w:val="793FC735"/>
    <w:rsid w:val="79AD156B"/>
    <w:rsid w:val="79DB7D3F"/>
    <w:rsid w:val="79F9DF7F"/>
    <w:rsid w:val="7A5F12DB"/>
    <w:rsid w:val="7AFFFAA8"/>
    <w:rsid w:val="7B2A1F0C"/>
    <w:rsid w:val="7B430A6C"/>
    <w:rsid w:val="7BDFFBFC"/>
    <w:rsid w:val="7BE42DD1"/>
    <w:rsid w:val="7BF3B4F8"/>
    <w:rsid w:val="7BF56640"/>
    <w:rsid w:val="7BF71C6A"/>
    <w:rsid w:val="7BFF2B4A"/>
    <w:rsid w:val="7C525C72"/>
    <w:rsid w:val="7C5784DB"/>
    <w:rsid w:val="7C5C1AB7"/>
    <w:rsid w:val="7C75178D"/>
    <w:rsid w:val="7C775614"/>
    <w:rsid w:val="7C801CAB"/>
    <w:rsid w:val="7C830803"/>
    <w:rsid w:val="7CF952A9"/>
    <w:rsid w:val="7D5F2B0D"/>
    <w:rsid w:val="7D6DBFB2"/>
    <w:rsid w:val="7D8FC97F"/>
    <w:rsid w:val="7D9CCB89"/>
    <w:rsid w:val="7DC3A6AF"/>
    <w:rsid w:val="7DCE0CFD"/>
    <w:rsid w:val="7DD9D311"/>
    <w:rsid w:val="7DDC6893"/>
    <w:rsid w:val="7DDF9B29"/>
    <w:rsid w:val="7DF73751"/>
    <w:rsid w:val="7E1FD585"/>
    <w:rsid w:val="7E461224"/>
    <w:rsid w:val="7EAB23C1"/>
    <w:rsid w:val="7EDE4B96"/>
    <w:rsid w:val="7EE62C59"/>
    <w:rsid w:val="7EF4FBFE"/>
    <w:rsid w:val="7EFFB9AF"/>
    <w:rsid w:val="7F062C0F"/>
    <w:rsid w:val="7F0653CC"/>
    <w:rsid w:val="7F3928AB"/>
    <w:rsid w:val="7F3F501B"/>
    <w:rsid w:val="7F3F8348"/>
    <w:rsid w:val="7F4F463C"/>
    <w:rsid w:val="7F5A1519"/>
    <w:rsid w:val="7F6A6465"/>
    <w:rsid w:val="7F7C36F7"/>
    <w:rsid w:val="7F7D3BFA"/>
    <w:rsid w:val="7F7E6FD9"/>
    <w:rsid w:val="7F7FB2DC"/>
    <w:rsid w:val="7F7FCC26"/>
    <w:rsid w:val="7FB6B014"/>
    <w:rsid w:val="7FB74147"/>
    <w:rsid w:val="7FBC00A9"/>
    <w:rsid w:val="7FCF2AC9"/>
    <w:rsid w:val="7FE69D82"/>
    <w:rsid w:val="7FEF0119"/>
    <w:rsid w:val="7FF739F7"/>
    <w:rsid w:val="7FF7A4A1"/>
    <w:rsid w:val="7FF8CCAE"/>
    <w:rsid w:val="7FFB1A5C"/>
    <w:rsid w:val="7FFBDFD9"/>
    <w:rsid w:val="7FFF74D5"/>
    <w:rsid w:val="7FFFFEC2"/>
    <w:rsid w:val="8775563E"/>
    <w:rsid w:val="8DDA1592"/>
    <w:rsid w:val="8DEFE348"/>
    <w:rsid w:val="8EEE82AF"/>
    <w:rsid w:val="8FAFD146"/>
    <w:rsid w:val="927FFDD3"/>
    <w:rsid w:val="9CDCDF34"/>
    <w:rsid w:val="9EFFE04C"/>
    <w:rsid w:val="9F59FF24"/>
    <w:rsid w:val="9FBD97DD"/>
    <w:rsid w:val="9FEB461C"/>
    <w:rsid w:val="A3FFE231"/>
    <w:rsid w:val="A8DF8AEE"/>
    <w:rsid w:val="ABAFBE52"/>
    <w:rsid w:val="ABFBCB29"/>
    <w:rsid w:val="ACEFC6A3"/>
    <w:rsid w:val="ADBEC1DF"/>
    <w:rsid w:val="ADD31A72"/>
    <w:rsid w:val="AF7FE2F4"/>
    <w:rsid w:val="AFFE0585"/>
    <w:rsid w:val="B3EFCBAD"/>
    <w:rsid w:val="B47B4E46"/>
    <w:rsid w:val="B6EFEAC2"/>
    <w:rsid w:val="B7DDA1C1"/>
    <w:rsid w:val="B7FF29B7"/>
    <w:rsid w:val="BAFFFB11"/>
    <w:rsid w:val="BBB7AE7C"/>
    <w:rsid w:val="BBF36D2F"/>
    <w:rsid w:val="BCD68020"/>
    <w:rsid w:val="BCEFBF30"/>
    <w:rsid w:val="BCFF1409"/>
    <w:rsid w:val="BDBB4EE3"/>
    <w:rsid w:val="BDEF41FF"/>
    <w:rsid w:val="BDEF7A8F"/>
    <w:rsid w:val="BE7F1D72"/>
    <w:rsid w:val="BEF2367D"/>
    <w:rsid w:val="BEFF2D88"/>
    <w:rsid w:val="BF37372F"/>
    <w:rsid w:val="BF7B7D48"/>
    <w:rsid w:val="BFDBE5A8"/>
    <w:rsid w:val="BFDF02B4"/>
    <w:rsid w:val="BFDF4E4F"/>
    <w:rsid w:val="BFE1AB10"/>
    <w:rsid w:val="BFE35C67"/>
    <w:rsid w:val="BFEED49F"/>
    <w:rsid w:val="BFF76F55"/>
    <w:rsid w:val="BFFD6309"/>
    <w:rsid w:val="BFFF3D2B"/>
    <w:rsid w:val="BFFFAFF4"/>
    <w:rsid w:val="BFFFBBBF"/>
    <w:rsid w:val="C75D5F13"/>
    <w:rsid w:val="C9EF42F2"/>
    <w:rsid w:val="CA5B1224"/>
    <w:rsid w:val="CBB760C2"/>
    <w:rsid w:val="CBF96C24"/>
    <w:rsid w:val="CEEDA613"/>
    <w:rsid w:val="CFDAB0B6"/>
    <w:rsid w:val="D4EF8D4E"/>
    <w:rsid w:val="D5463BA2"/>
    <w:rsid w:val="D5D56503"/>
    <w:rsid w:val="D5FE0953"/>
    <w:rsid w:val="D6D1AF6F"/>
    <w:rsid w:val="D76EEBD6"/>
    <w:rsid w:val="D7BF2644"/>
    <w:rsid w:val="D8A696C8"/>
    <w:rsid w:val="D9DF8A29"/>
    <w:rsid w:val="DB9FFFB4"/>
    <w:rsid w:val="DBBEFA0C"/>
    <w:rsid w:val="DCFDC364"/>
    <w:rsid w:val="DD3FB6E9"/>
    <w:rsid w:val="DD7E001C"/>
    <w:rsid w:val="DDFB12DF"/>
    <w:rsid w:val="DE5AAB5B"/>
    <w:rsid w:val="DE9F3E4F"/>
    <w:rsid w:val="DEB3BD53"/>
    <w:rsid w:val="DEE1C009"/>
    <w:rsid w:val="DEE7E1F1"/>
    <w:rsid w:val="DEFE0726"/>
    <w:rsid w:val="DEFF1A89"/>
    <w:rsid w:val="DF37E7EA"/>
    <w:rsid w:val="DF6FB608"/>
    <w:rsid w:val="DF9AF211"/>
    <w:rsid w:val="DFAF97F7"/>
    <w:rsid w:val="DFBC0887"/>
    <w:rsid w:val="DFDF4B8B"/>
    <w:rsid w:val="DFEB0CD5"/>
    <w:rsid w:val="DFEFD184"/>
    <w:rsid w:val="DFF67215"/>
    <w:rsid w:val="DFFBBD06"/>
    <w:rsid w:val="DFFF587E"/>
    <w:rsid w:val="DFFF85DF"/>
    <w:rsid w:val="DFFFE76B"/>
    <w:rsid w:val="E1BA020F"/>
    <w:rsid w:val="E3EDB107"/>
    <w:rsid w:val="E43D1312"/>
    <w:rsid w:val="E55A7CA7"/>
    <w:rsid w:val="E57DF7B4"/>
    <w:rsid w:val="E6475BDD"/>
    <w:rsid w:val="E67B1A36"/>
    <w:rsid w:val="E7BBB2E9"/>
    <w:rsid w:val="E7FF2527"/>
    <w:rsid w:val="E948201A"/>
    <w:rsid w:val="E963B27E"/>
    <w:rsid w:val="E9EF442D"/>
    <w:rsid w:val="EA28F3E0"/>
    <w:rsid w:val="EAFFEA39"/>
    <w:rsid w:val="EB7D4F34"/>
    <w:rsid w:val="EBF4981F"/>
    <w:rsid w:val="EBF9C698"/>
    <w:rsid w:val="EBFF2ACC"/>
    <w:rsid w:val="ECC776E7"/>
    <w:rsid w:val="ECDD589F"/>
    <w:rsid w:val="EDBD425D"/>
    <w:rsid w:val="EEAAB678"/>
    <w:rsid w:val="EEF5E610"/>
    <w:rsid w:val="EF6F6463"/>
    <w:rsid w:val="EF8D2986"/>
    <w:rsid w:val="EFB6D953"/>
    <w:rsid w:val="EFCFF0D9"/>
    <w:rsid w:val="EFD7E047"/>
    <w:rsid w:val="EFDE02F8"/>
    <w:rsid w:val="EFFFD637"/>
    <w:rsid w:val="F1FF6836"/>
    <w:rsid w:val="F22D6CB0"/>
    <w:rsid w:val="F2661BBA"/>
    <w:rsid w:val="F2FB16E3"/>
    <w:rsid w:val="F3170FA2"/>
    <w:rsid w:val="F32F4449"/>
    <w:rsid w:val="F35EB9D6"/>
    <w:rsid w:val="F37D8320"/>
    <w:rsid w:val="F3F068DB"/>
    <w:rsid w:val="F3F2C436"/>
    <w:rsid w:val="F5BF3DBF"/>
    <w:rsid w:val="F5BF9492"/>
    <w:rsid w:val="F5FF9932"/>
    <w:rsid w:val="F617679C"/>
    <w:rsid w:val="F67918CC"/>
    <w:rsid w:val="F67F19D0"/>
    <w:rsid w:val="F67FA586"/>
    <w:rsid w:val="F6E64827"/>
    <w:rsid w:val="F6FB6F41"/>
    <w:rsid w:val="F73DC9D2"/>
    <w:rsid w:val="F7661916"/>
    <w:rsid w:val="F7B859CE"/>
    <w:rsid w:val="F7BF7397"/>
    <w:rsid w:val="F7D3AAC9"/>
    <w:rsid w:val="F7EFCEFF"/>
    <w:rsid w:val="F7F7B73B"/>
    <w:rsid w:val="F7F84506"/>
    <w:rsid w:val="F7FB0382"/>
    <w:rsid w:val="F7FB7371"/>
    <w:rsid w:val="F7FB744E"/>
    <w:rsid w:val="F7FC1E6D"/>
    <w:rsid w:val="F7FF37D6"/>
    <w:rsid w:val="F9AEC27F"/>
    <w:rsid w:val="F9F331C5"/>
    <w:rsid w:val="F9FBA088"/>
    <w:rsid w:val="FB52E59E"/>
    <w:rsid w:val="FB6DCBAF"/>
    <w:rsid w:val="FBB54210"/>
    <w:rsid w:val="FBCF8CFB"/>
    <w:rsid w:val="FBDEF14A"/>
    <w:rsid w:val="FBE7C3D2"/>
    <w:rsid w:val="FBFF9855"/>
    <w:rsid w:val="FBFFB635"/>
    <w:rsid w:val="FC762737"/>
    <w:rsid w:val="FCEE749E"/>
    <w:rsid w:val="FCEFD1DF"/>
    <w:rsid w:val="FCF3AE22"/>
    <w:rsid w:val="FCFFFB22"/>
    <w:rsid w:val="FD3DAC69"/>
    <w:rsid w:val="FD4B831F"/>
    <w:rsid w:val="FD7B3596"/>
    <w:rsid w:val="FD7F6ED5"/>
    <w:rsid w:val="FD9BC3C4"/>
    <w:rsid w:val="FDAB780B"/>
    <w:rsid w:val="FDBBBD0A"/>
    <w:rsid w:val="FDBE81B1"/>
    <w:rsid w:val="FDBFE22F"/>
    <w:rsid w:val="FDCD36E4"/>
    <w:rsid w:val="FDEF0794"/>
    <w:rsid w:val="FDF7CA31"/>
    <w:rsid w:val="FE7DA79E"/>
    <w:rsid w:val="FEF6C63F"/>
    <w:rsid w:val="FEF914EA"/>
    <w:rsid w:val="FEFDD29C"/>
    <w:rsid w:val="FEFF0183"/>
    <w:rsid w:val="FEFF677F"/>
    <w:rsid w:val="FF2EAE02"/>
    <w:rsid w:val="FF3B9EFE"/>
    <w:rsid w:val="FF4E85E6"/>
    <w:rsid w:val="FF5F9EEB"/>
    <w:rsid w:val="FF5FE9B0"/>
    <w:rsid w:val="FF7AE4F7"/>
    <w:rsid w:val="FF7CEC30"/>
    <w:rsid w:val="FF7EC496"/>
    <w:rsid w:val="FF7FAB7B"/>
    <w:rsid w:val="FF7FBFFA"/>
    <w:rsid w:val="FFAB7B54"/>
    <w:rsid w:val="FFB5CE33"/>
    <w:rsid w:val="FFCF4041"/>
    <w:rsid w:val="FFDF70E3"/>
    <w:rsid w:val="FFDF85CB"/>
    <w:rsid w:val="FFE78151"/>
    <w:rsid w:val="FFEAF835"/>
    <w:rsid w:val="FFEEBFF6"/>
    <w:rsid w:val="FFEF0950"/>
    <w:rsid w:val="FFEF11C6"/>
    <w:rsid w:val="FFF79BDB"/>
    <w:rsid w:val="FFF7AD5B"/>
    <w:rsid w:val="FFFA46FE"/>
    <w:rsid w:val="FFFA5F65"/>
    <w:rsid w:val="FFFBCA62"/>
    <w:rsid w:val="FFFD3010"/>
    <w:rsid w:val="FFFD7EC5"/>
    <w:rsid w:val="FFFD8AE8"/>
    <w:rsid w:val="FFFF4FCF"/>
    <w:rsid w:val="FFFF83F8"/>
    <w:rsid w:val="FFFF9AC7"/>
    <w:rsid w:val="FFFF9D2E"/>
    <w:rsid w:val="FFFFA930"/>
    <w:rsid w:val="FFFFDFBA"/>
    <w:rsid w:val="FFFFF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3" w:firstLineChars="200"/>
      <w:jc w:val="both"/>
    </w:pPr>
    <w:rPr>
      <w:rFonts w:eastAsia="仿宋_GB2312" w:asciiTheme="minorAscii" w:hAnsiTheme="minorAscii" w:cstheme="minorBidi"/>
      <w:kern w:val="2"/>
      <w:sz w:val="30"/>
      <w:szCs w:val="24"/>
      <w:lang w:val="en-US" w:eastAsia="zh-CN" w:bidi="ar-SA"/>
    </w:rPr>
  </w:style>
  <w:style w:type="paragraph" w:styleId="2">
    <w:name w:val="heading 1"/>
    <w:basedOn w:val="1"/>
    <w:next w:val="1"/>
    <w:link w:val="34"/>
    <w:qFormat/>
    <w:uiPriority w:val="0"/>
    <w:pPr>
      <w:keepNext/>
      <w:keepLines/>
      <w:numPr>
        <w:ilvl w:val="0"/>
        <w:numId w:val="1"/>
      </w:numPr>
      <w:spacing w:before="50" w:beforeLines="50" w:after="50" w:afterLines="50"/>
      <w:ind w:left="0" w:firstLine="0" w:firstLineChars="0"/>
      <w:outlineLvl w:val="0"/>
    </w:pPr>
    <w:rPr>
      <w:rFonts w:ascii="Calibri" w:hAnsi="Calibri" w:eastAsia="黑体" w:cs="Calibri"/>
      <w:b/>
      <w:bCs/>
      <w:kern w:val="44"/>
      <w:sz w:val="32"/>
      <w:szCs w:val="44"/>
    </w:rPr>
  </w:style>
  <w:style w:type="paragraph" w:styleId="3">
    <w:name w:val="heading 2"/>
    <w:basedOn w:val="1"/>
    <w:next w:val="1"/>
    <w:link w:val="35"/>
    <w:unhideWhenUsed/>
    <w:qFormat/>
    <w:uiPriority w:val="0"/>
    <w:pPr>
      <w:numPr>
        <w:ilvl w:val="0"/>
        <w:numId w:val="2"/>
      </w:numPr>
      <w:spacing w:before="50" w:beforeLines="50" w:after="50" w:afterLines="50"/>
      <w:ind w:firstLine="0" w:firstLineChars="0"/>
      <w:jc w:val="left"/>
      <w:outlineLvl w:val="1"/>
    </w:pPr>
    <w:rPr>
      <w:rFonts w:ascii="宋体" w:hAnsi="宋体" w:eastAsia="宋体" w:cs="Times New Roman"/>
      <w:b/>
      <w:bCs/>
      <w:kern w:val="0"/>
      <w:sz w:val="32"/>
      <w:szCs w:val="36"/>
    </w:rPr>
  </w:style>
  <w:style w:type="paragraph" w:styleId="4">
    <w:name w:val="heading 3"/>
    <w:basedOn w:val="1"/>
    <w:next w:val="1"/>
    <w:link w:val="32"/>
    <w:unhideWhenUsed/>
    <w:qFormat/>
    <w:uiPriority w:val="0"/>
    <w:pPr>
      <w:numPr>
        <w:ilvl w:val="0"/>
        <w:numId w:val="3"/>
      </w:numPr>
      <w:spacing w:before="50" w:beforeLines="50" w:after="50" w:afterLines="50"/>
      <w:ind w:firstLine="0" w:firstLineChars="0"/>
      <w:jc w:val="left"/>
      <w:outlineLvl w:val="2"/>
    </w:pPr>
    <w:rPr>
      <w:rFonts w:ascii="宋体" w:hAnsi="宋体" w:eastAsia="宋体" w:cs="Times New Roman"/>
      <w:b/>
      <w:bCs/>
      <w:kern w:val="0"/>
      <w:sz w:val="30"/>
      <w:szCs w:val="27"/>
    </w:rPr>
  </w:style>
  <w:style w:type="paragraph" w:styleId="5">
    <w:name w:val="heading 4"/>
    <w:basedOn w:val="1"/>
    <w:next w:val="1"/>
    <w:unhideWhenUsed/>
    <w:qFormat/>
    <w:uiPriority w:val="0"/>
    <w:pPr>
      <w:keepNext/>
      <w:keepLines/>
      <w:numPr>
        <w:ilvl w:val="3"/>
        <w:numId w:val="4"/>
      </w:numPr>
      <w:spacing w:before="280" w:after="290" w:line="372" w:lineRule="auto"/>
      <w:outlineLvl w:val="3"/>
    </w:pPr>
    <w:rPr>
      <w:rFonts w:ascii="Arial" w:hAnsi="Arial" w:eastAsia="黑体"/>
      <w:b/>
    </w:rPr>
  </w:style>
  <w:style w:type="paragraph" w:styleId="6">
    <w:name w:val="heading 5"/>
    <w:basedOn w:val="1"/>
    <w:next w:val="1"/>
    <w:unhideWhenUsed/>
    <w:qFormat/>
    <w:uiPriority w:val="0"/>
    <w:pPr>
      <w:keepNext/>
      <w:keepLines/>
      <w:numPr>
        <w:ilvl w:val="4"/>
        <w:numId w:val="4"/>
      </w:numPr>
      <w:spacing w:before="280" w:after="290" w:line="372" w:lineRule="auto"/>
      <w:outlineLvl w:val="4"/>
    </w:pPr>
    <w:rPr>
      <w:b/>
    </w:rPr>
  </w:style>
  <w:style w:type="paragraph" w:styleId="7">
    <w:name w:val="heading 6"/>
    <w:basedOn w:val="1"/>
    <w:next w:val="1"/>
    <w:unhideWhenUsed/>
    <w:qFormat/>
    <w:uiPriority w:val="0"/>
    <w:pPr>
      <w:keepNext/>
      <w:keepLines/>
      <w:numPr>
        <w:ilvl w:val="5"/>
        <w:numId w:val="4"/>
      </w:numPr>
      <w:spacing w:before="240" w:after="64" w:line="317" w:lineRule="auto"/>
      <w:outlineLvl w:val="5"/>
    </w:pPr>
    <w:rPr>
      <w:rFonts w:ascii="Arial" w:hAnsi="Arial" w:eastAsia="黑体"/>
      <w:b/>
      <w:sz w:val="24"/>
    </w:rPr>
  </w:style>
  <w:style w:type="paragraph" w:styleId="8">
    <w:name w:val="heading 7"/>
    <w:basedOn w:val="1"/>
    <w:next w:val="1"/>
    <w:unhideWhenUsed/>
    <w:qFormat/>
    <w:uiPriority w:val="0"/>
    <w:pPr>
      <w:keepNext/>
      <w:keepLines/>
      <w:numPr>
        <w:ilvl w:val="6"/>
        <w:numId w:val="4"/>
      </w:numPr>
      <w:spacing w:before="240" w:after="64" w:line="317" w:lineRule="auto"/>
      <w:outlineLvl w:val="6"/>
    </w:pPr>
    <w:rPr>
      <w:b/>
      <w:sz w:val="24"/>
    </w:rPr>
  </w:style>
  <w:style w:type="paragraph" w:styleId="9">
    <w:name w:val="heading 8"/>
    <w:basedOn w:val="1"/>
    <w:next w:val="1"/>
    <w:unhideWhenUsed/>
    <w:qFormat/>
    <w:uiPriority w:val="0"/>
    <w:pPr>
      <w:keepNext/>
      <w:keepLines/>
      <w:numPr>
        <w:ilvl w:val="7"/>
        <w:numId w:val="4"/>
      </w:numPr>
      <w:spacing w:before="240" w:after="64" w:line="317" w:lineRule="auto"/>
      <w:outlineLvl w:val="7"/>
    </w:pPr>
    <w:rPr>
      <w:rFonts w:ascii="Arial" w:hAnsi="Arial" w:eastAsia="黑体"/>
      <w:sz w:val="24"/>
    </w:rPr>
  </w:style>
  <w:style w:type="paragraph" w:styleId="10">
    <w:name w:val="heading 9"/>
    <w:basedOn w:val="1"/>
    <w:next w:val="1"/>
    <w:unhideWhenUsed/>
    <w:qFormat/>
    <w:uiPriority w:val="0"/>
    <w:pPr>
      <w:keepNext/>
      <w:keepLines/>
      <w:numPr>
        <w:ilvl w:val="8"/>
        <w:numId w:val="4"/>
      </w:numPr>
      <w:spacing w:before="240" w:after="64" w:line="317" w:lineRule="auto"/>
      <w:outlineLvl w:val="8"/>
    </w:pPr>
    <w:rPr>
      <w:rFonts w:ascii="Arial" w:hAnsi="Arial" w:eastAsia="黑体"/>
      <w:sz w:val="21"/>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pPr>
      <w:ind w:firstLine="0" w:firstLineChars="0"/>
      <w:jc w:val="center"/>
    </w:pPr>
    <w:rPr>
      <w:rFonts w:cstheme="majorBidi"/>
      <w:b/>
      <w:sz w:val="24"/>
      <w:szCs w:val="20"/>
    </w:rPr>
  </w:style>
  <w:style w:type="paragraph" w:styleId="12">
    <w:name w:val="toa heading"/>
    <w:basedOn w:val="1"/>
    <w:next w:val="1"/>
    <w:qFormat/>
    <w:uiPriority w:val="99"/>
    <w:pPr>
      <w:spacing w:before="120"/>
    </w:pPr>
    <w:rPr>
      <w:rFonts w:ascii="Arial" w:hAnsi="Arial" w:eastAsia="仿宋" w:cs="Arial"/>
    </w:rPr>
  </w:style>
  <w:style w:type="paragraph" w:styleId="13">
    <w:name w:val="annotation text"/>
    <w:basedOn w:val="1"/>
    <w:link w:val="43"/>
    <w:qFormat/>
    <w:uiPriority w:val="0"/>
    <w:pPr>
      <w:jc w:val="left"/>
    </w:pPr>
  </w:style>
  <w:style w:type="paragraph" w:styleId="14">
    <w:name w:val="Body Text"/>
    <w:basedOn w:val="1"/>
    <w:next w:val="1"/>
    <w:qFormat/>
    <w:uiPriority w:val="0"/>
    <w:rPr>
      <w:rFonts w:ascii="Times New Roman" w:eastAsia="文星仿宋"/>
      <w:sz w:val="32"/>
    </w:rPr>
  </w:style>
  <w:style w:type="paragraph" w:styleId="15">
    <w:name w:val="Body Text Indent"/>
    <w:basedOn w:val="1"/>
    <w:next w:val="1"/>
    <w:qFormat/>
    <w:uiPriority w:val="0"/>
    <w:pPr>
      <w:spacing w:after="120"/>
      <w:ind w:left="420" w:leftChars="200"/>
    </w:pPr>
  </w:style>
  <w:style w:type="paragraph" w:styleId="16">
    <w:name w:val="Balloon Text"/>
    <w:basedOn w:val="1"/>
    <w:link w:val="45"/>
    <w:qFormat/>
    <w:uiPriority w:val="0"/>
    <w:pPr>
      <w:spacing w:line="240" w:lineRule="auto"/>
    </w:pPr>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9">
    <w:name w:val="footnote text"/>
    <w:basedOn w:val="1"/>
    <w:qFormat/>
    <w:uiPriority w:val="0"/>
    <w:pPr>
      <w:snapToGrid w:val="0"/>
      <w:jc w:val="left"/>
    </w:pPr>
    <w:rPr>
      <w:sz w:val="18"/>
    </w:rPr>
  </w:style>
  <w:style w:type="paragraph" w:styleId="20">
    <w:name w:val="table of figures"/>
    <w:basedOn w:val="1"/>
    <w:next w:val="1"/>
    <w:qFormat/>
    <w:uiPriority w:val="0"/>
    <w:pPr>
      <w:ind w:left="200" w:leftChars="200" w:hanging="200" w:hangingChars="200"/>
    </w:pPr>
  </w:style>
  <w:style w:type="paragraph" w:styleId="21">
    <w:name w:val="Body Text 2"/>
    <w:basedOn w:val="1"/>
    <w:qFormat/>
    <w:uiPriority w:val="0"/>
    <w:pPr>
      <w:ind w:firstLine="1840"/>
    </w:pPr>
  </w:style>
  <w:style w:type="paragraph" w:styleId="22">
    <w:name w:val="Normal (Web)"/>
    <w:basedOn w:val="1"/>
    <w:qFormat/>
    <w:uiPriority w:val="0"/>
    <w:pPr>
      <w:spacing w:beforeAutospacing="1" w:afterAutospacing="1"/>
      <w:jc w:val="left"/>
    </w:pPr>
    <w:rPr>
      <w:rFonts w:cs="Times New Roman"/>
      <w:kern w:val="0"/>
      <w:sz w:val="24"/>
    </w:rPr>
  </w:style>
  <w:style w:type="paragraph" w:styleId="23">
    <w:name w:val="annotation subject"/>
    <w:basedOn w:val="13"/>
    <w:next w:val="13"/>
    <w:link w:val="44"/>
    <w:qFormat/>
    <w:uiPriority w:val="0"/>
    <w:rPr>
      <w:b/>
      <w:bCs/>
    </w:rPr>
  </w:style>
  <w:style w:type="paragraph" w:styleId="24">
    <w:name w:val="Body Text First Indent 2"/>
    <w:basedOn w:val="15"/>
    <w:next w:val="1"/>
    <w:qFormat/>
    <w:uiPriority w:val="0"/>
    <w:pPr>
      <w:ind w:firstLine="420"/>
    </w:pPr>
  </w:style>
  <w:style w:type="table" w:styleId="26">
    <w:name w:val="Table Grid"/>
    <w:basedOn w:val="25"/>
    <w:qFormat/>
    <w:uiPriority w:val="99"/>
    <w:rPr>
      <w:rFonts w:ascii="等线" w:hAnsi="等线" w:eastAsia="等线"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rPr>
      <w:b/>
    </w:rPr>
  </w:style>
  <w:style w:type="character" w:styleId="29">
    <w:name w:val="Hyperlink"/>
    <w:basedOn w:val="27"/>
    <w:qFormat/>
    <w:uiPriority w:val="0"/>
    <w:rPr>
      <w:color w:val="0000FF"/>
      <w:u w:val="single"/>
    </w:rPr>
  </w:style>
  <w:style w:type="character" w:styleId="30">
    <w:name w:val="annotation reference"/>
    <w:basedOn w:val="27"/>
    <w:qFormat/>
    <w:uiPriority w:val="0"/>
    <w:rPr>
      <w:sz w:val="21"/>
      <w:szCs w:val="21"/>
    </w:rPr>
  </w:style>
  <w:style w:type="character" w:styleId="31">
    <w:name w:val="footnote reference"/>
    <w:basedOn w:val="27"/>
    <w:qFormat/>
    <w:uiPriority w:val="0"/>
    <w:rPr>
      <w:vertAlign w:val="superscript"/>
    </w:rPr>
  </w:style>
  <w:style w:type="character" w:customStyle="1" w:styleId="32">
    <w:name w:val="标题 3 Char"/>
    <w:link w:val="4"/>
    <w:qFormat/>
    <w:uiPriority w:val="9"/>
    <w:rPr>
      <w:rFonts w:ascii="宋体" w:hAnsi="宋体" w:eastAsia="宋体" w:cs="宋体"/>
      <w:b/>
      <w:bCs/>
      <w:kern w:val="0"/>
      <w:sz w:val="30"/>
      <w:szCs w:val="27"/>
      <w:lang w:val="en-US" w:eastAsia="zh-CN" w:bidi="ar"/>
    </w:rPr>
  </w:style>
  <w:style w:type="paragraph" w:customStyle="1" w:styleId="33">
    <w:name w:val="图表名"/>
    <w:basedOn w:val="20"/>
    <w:qFormat/>
    <w:uiPriority w:val="0"/>
    <w:pPr>
      <w:ind w:left="748" w:leftChars="50" w:firstLine="0" w:firstLineChars="0"/>
      <w:jc w:val="center"/>
      <w:outlineLvl w:val="2"/>
    </w:pPr>
    <w:rPr>
      <w:rFonts w:eastAsia="黑体"/>
      <w:sz w:val="24"/>
    </w:rPr>
  </w:style>
  <w:style w:type="character" w:customStyle="1" w:styleId="34">
    <w:name w:val="标题 1 Char"/>
    <w:link w:val="2"/>
    <w:qFormat/>
    <w:locked/>
    <w:uiPriority w:val="0"/>
    <w:rPr>
      <w:rFonts w:ascii="Calibri" w:hAnsi="Calibri" w:eastAsia="黑体" w:cs="Calibri"/>
      <w:b/>
      <w:bCs/>
      <w:kern w:val="44"/>
      <w:sz w:val="32"/>
      <w:szCs w:val="44"/>
      <w:lang w:val="en-US" w:eastAsia="zh-CN" w:bidi="ar-SA"/>
    </w:rPr>
  </w:style>
  <w:style w:type="character" w:customStyle="1" w:styleId="35">
    <w:name w:val="标题 2 Char"/>
    <w:link w:val="3"/>
    <w:qFormat/>
    <w:locked/>
    <w:uiPriority w:val="99"/>
    <w:rPr>
      <w:rFonts w:ascii="宋体" w:hAnsi="宋体" w:eastAsia="宋体" w:cs="宋体"/>
      <w:b/>
      <w:bCs/>
      <w:kern w:val="0"/>
      <w:sz w:val="32"/>
      <w:szCs w:val="36"/>
      <w:lang w:val="en-US" w:eastAsia="zh-CN" w:bidi="ar"/>
    </w:rPr>
  </w:style>
  <w:style w:type="paragraph" w:customStyle="1" w:styleId="36">
    <w:name w:val="列出段落1"/>
    <w:basedOn w:val="1"/>
    <w:qFormat/>
    <w:uiPriority w:val="34"/>
    <w:pPr>
      <w:ind w:left="480" w:leftChars="200"/>
    </w:pPr>
  </w:style>
  <w:style w:type="paragraph" w:customStyle="1" w:styleId="37">
    <w:name w:val="Default2"/>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表内文字"/>
    <w:basedOn w:val="1"/>
    <w:qFormat/>
    <w:uiPriority w:val="0"/>
    <w:pPr>
      <w:widowControl/>
      <w:spacing w:line="360" w:lineRule="exact"/>
      <w:ind w:firstLine="0" w:firstLineChars="0"/>
      <w:jc w:val="center"/>
      <w:textAlignment w:val="center"/>
    </w:pPr>
    <w:rPr>
      <w:kern w:val="0"/>
      <w:sz w:val="24"/>
    </w:rPr>
  </w:style>
  <w:style w:type="character" w:customStyle="1" w:styleId="39">
    <w:name w:val="我的正文 字符"/>
    <w:basedOn w:val="27"/>
    <w:link w:val="40"/>
    <w:qFormat/>
    <w:uiPriority w:val="0"/>
    <w:rPr>
      <w:sz w:val="30"/>
    </w:rPr>
  </w:style>
  <w:style w:type="paragraph" w:customStyle="1" w:styleId="40">
    <w:name w:val="我的正文"/>
    <w:basedOn w:val="1"/>
    <w:link w:val="39"/>
    <w:qFormat/>
    <w:uiPriority w:val="0"/>
    <w:pPr>
      <w:ind w:firstLine="200"/>
    </w:pPr>
    <w:rPr>
      <w:sz w:val="30"/>
    </w:rPr>
  </w:style>
  <w:style w:type="paragraph" w:customStyle="1" w:styleId="41">
    <w:name w:val="表格"/>
    <w:basedOn w:val="1"/>
    <w:qFormat/>
    <w:uiPriority w:val="0"/>
    <w:pPr>
      <w:widowControl/>
      <w:spacing w:line="240" w:lineRule="auto"/>
      <w:ind w:firstLine="0" w:firstLineChars="0"/>
      <w:jc w:val="left"/>
    </w:pPr>
    <w:rPr>
      <w:rFonts w:eastAsia="宋体"/>
      <w:color w:val="000000"/>
      <w:kern w:val="0"/>
      <w:sz w:val="21"/>
      <w:szCs w:val="21"/>
    </w:rPr>
  </w:style>
  <w:style w:type="character" w:customStyle="1" w:styleId="42">
    <w:name w:val="font01"/>
    <w:qFormat/>
    <w:uiPriority w:val="0"/>
    <w:rPr>
      <w:rFonts w:hint="eastAsia" w:ascii="宋体" w:hAnsi="宋体" w:eastAsia="宋体" w:cs="宋体"/>
      <w:color w:val="000000"/>
      <w:sz w:val="21"/>
      <w:szCs w:val="21"/>
      <w:u w:val="none"/>
    </w:rPr>
  </w:style>
  <w:style w:type="character" w:customStyle="1" w:styleId="43">
    <w:name w:val="批注文字 Char"/>
    <w:basedOn w:val="27"/>
    <w:link w:val="13"/>
    <w:qFormat/>
    <w:uiPriority w:val="0"/>
    <w:rPr>
      <w:rFonts w:eastAsia="仿宋_GB2312" w:asciiTheme="minorHAnsi" w:hAnsiTheme="minorHAnsi" w:cstheme="minorBidi"/>
      <w:kern w:val="2"/>
      <w:sz w:val="28"/>
      <w:szCs w:val="24"/>
    </w:rPr>
  </w:style>
  <w:style w:type="character" w:customStyle="1" w:styleId="44">
    <w:name w:val="批注主题 Char"/>
    <w:basedOn w:val="43"/>
    <w:link w:val="23"/>
    <w:qFormat/>
    <w:uiPriority w:val="0"/>
    <w:rPr>
      <w:rFonts w:eastAsia="仿宋_GB2312" w:asciiTheme="minorHAnsi" w:hAnsiTheme="minorHAnsi" w:cstheme="minorBidi"/>
      <w:b/>
      <w:bCs/>
      <w:kern w:val="2"/>
      <w:sz w:val="28"/>
      <w:szCs w:val="24"/>
    </w:rPr>
  </w:style>
  <w:style w:type="character" w:customStyle="1" w:styleId="45">
    <w:name w:val="批注框文本 Char"/>
    <w:basedOn w:val="27"/>
    <w:link w:val="16"/>
    <w:qFormat/>
    <w:uiPriority w:val="0"/>
    <w:rPr>
      <w:rFonts w:eastAsia="仿宋_GB2312" w:asciiTheme="minorHAnsi" w:hAnsiTheme="minorHAnsi" w:cstheme="minorBidi"/>
      <w:kern w:val="2"/>
      <w:sz w:val="18"/>
      <w:szCs w:val="18"/>
    </w:rPr>
  </w:style>
  <w:style w:type="paragraph" w:customStyle="1" w:styleId="46">
    <w:name w:val="Revision"/>
    <w:hidden/>
    <w:unhideWhenUsed/>
    <w:qFormat/>
    <w:uiPriority w:val="99"/>
    <w:rPr>
      <w:rFonts w:eastAsia="仿宋_GB2312" w:asciiTheme="minorHAnsi" w:hAnsiTheme="minorHAnsi" w:cstheme="minorBidi"/>
      <w:kern w:val="2"/>
      <w:sz w:val="28"/>
      <w:szCs w:val="24"/>
      <w:lang w:val="en-US" w:eastAsia="zh-CN" w:bidi="ar-SA"/>
    </w:rPr>
  </w:style>
  <w:style w:type="character" w:customStyle="1" w:styleId="47">
    <w:name w:val="font41"/>
    <w:basedOn w:val="27"/>
    <w:qFormat/>
    <w:uiPriority w:val="0"/>
    <w:rPr>
      <w:rFonts w:ascii="Nimbus Roman No9 L" w:hAnsi="Nimbus Roman No9 L" w:eastAsia="Nimbus Roman No9 L" w:cs="Nimbus Roman No9 L"/>
      <w:color w:val="000000"/>
      <w:sz w:val="20"/>
      <w:szCs w:val="20"/>
      <w:u w:val="none"/>
    </w:rPr>
  </w:style>
  <w:style w:type="character" w:customStyle="1" w:styleId="48">
    <w:name w:val="font61"/>
    <w:basedOn w:val="27"/>
    <w:qFormat/>
    <w:uiPriority w:val="0"/>
    <w:rPr>
      <w:rFonts w:ascii="Droid Sans Fallback" w:hAnsi="Droid Sans Fallback" w:eastAsia="Droid Sans Fallback" w:cs="Droid Sans Fallback"/>
      <w:color w:val="000000"/>
      <w:sz w:val="20"/>
      <w:szCs w:val="20"/>
      <w:u w:val="none"/>
    </w:rPr>
  </w:style>
  <w:style w:type="character" w:customStyle="1" w:styleId="49">
    <w:name w:val="font81"/>
    <w:basedOn w:val="27"/>
    <w:qFormat/>
    <w:uiPriority w:val="0"/>
    <w:rPr>
      <w:rFonts w:hint="default" w:ascii="Times New Roman" w:hAnsi="Times New Roman" w:cs="Times New Roman"/>
      <w:color w:val="000000"/>
      <w:sz w:val="21"/>
      <w:szCs w:val="21"/>
      <w:u w:val="none"/>
    </w:rPr>
  </w:style>
  <w:style w:type="character" w:customStyle="1" w:styleId="50">
    <w:name w:val="NormalCharacter"/>
    <w:qFormat/>
    <w:uiPriority w:val="0"/>
    <w:rPr>
      <w:rFonts w:ascii="Calibri" w:hAnsi="Calibri"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16267</Words>
  <Characters>16511</Characters>
  <Lines>137</Lines>
  <Paragraphs>38</Paragraphs>
  <TotalTime>1</TotalTime>
  <ScaleCrop>false</ScaleCrop>
  <LinksUpToDate>false</LinksUpToDate>
  <CharactersWithSpaces>16512</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2025-06-01T10:42:00Z</dcterms:created>
  <dc:creator>WPS_1615448819</dc:creator>
  <cp:lastModifiedBy>user</cp:lastModifiedBy>
  <cp:lastPrinted>2025-08-29T08:41:00Z</cp:lastPrinted>
  <dcterms:modified xsi:type="dcterms:W3CDTF">2026-03-27T15:40:11Z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685654F3F4BBD40E82C5C4690A20C4E8</vt:lpwstr>
  </property>
  <property fmtid="{D5CDD505-2E9C-101B-9397-08002B2CF9AE}" pid="4" name="KSOTemplateDocerSaveRecord">
    <vt:lpwstr>eyJoZGlkIjoiNmE5NTllYzE5NTAxNTMwZWE4ZGM1MWUxNzgwOGE0NzEiLCJ1c2VySWQiOiIxMTc0NjUxNjk5In0=</vt:lpwstr>
  </property>
</Properties>
</file>