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区管水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（泵）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闸工程管理与保护范围划定成果表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24"/>
        <w:gridCol w:w="1644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工程规模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管理与保护范围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金汇港北水利枢纽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中型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762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1094米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86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182米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208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白庙港水闸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106米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35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45米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南横泾套闸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230米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32-50米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（含进场通道）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南竹港套闸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310米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43-61米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143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南沙港套闸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上下游：长约2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95米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左右岸：宽约4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3-60米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146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巨潮港水闸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上下游：长约1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22米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左右岸：宽约3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52米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152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千步泾水闸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小（1）型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154-236米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11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65米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浦南运河水闸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上下游：长约1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46米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左右岸：宽约4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3-55米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173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南竹港南水闸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中型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上下游：长约1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36米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左右岸：宽约3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0-98米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金汇港南水闸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中型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上下游：长约5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54米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左右岸：宽约1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38-280米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南门港水闸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中型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上下游：长约8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左右岸：宽约4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90米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3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③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水闸公路桥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，长约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122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中港水闸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中型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上下游：长约3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46米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左右岸：宽约1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15-163米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航塘港泵闸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 xml:space="preserve">节制闸中型 </w:t>
            </w:r>
          </w:p>
          <w:p>
            <w:pPr>
              <w:jc w:val="center"/>
              <w:rPr>
                <w:rFonts w:hint="default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泵站大（2）型</w:t>
            </w:r>
          </w:p>
        </w:tc>
        <w:tc>
          <w:tcPr>
            <w:tcW w:w="3435" w:type="dxa"/>
          </w:tcPr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1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①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水闸主体设施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上下游：长约3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35米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左右岸：宽约6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-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201米</w:t>
            </w:r>
          </w:p>
          <w:p>
            <w:pP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instrText xml:space="preserve">= 2 \* GB3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</w:rPr>
              <w:t>②</w:t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 w:cs="宋体"/>
                <w:kern w:val="0"/>
                <w:sz w:val="21"/>
                <w:szCs w:val="21"/>
              </w:rPr>
              <w:t>水闸管理区</w:t>
            </w:r>
          </w:p>
        </w:tc>
      </w:tr>
    </w:tbl>
    <w:p/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1048"/>
    <w:rsid w:val="45A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2024-08-30T01:03:00Z</dcterms:created>
  <dc:creator>醉酒不成仙</dc:creator>
  <cp:lastModifiedBy>醉酒不成仙</cp:lastModifiedBy>
  <dcterms:modified xsi:type="dcterms:W3CDTF">2024-08-30T01:03:57Z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