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黑体" w:hAnsi="黑体" w:eastAsia="黑体" w:cs="宋体"/>
          <w:kern w:val="0"/>
          <w:sz w:val="32"/>
          <w:szCs w:val="32"/>
        </w:rPr>
        <w:t>附件</w:t>
      </w:r>
    </w:p>
    <w:p>
      <w:pPr>
        <w:spacing w:line="560" w:lineRule="exact"/>
        <w:jc w:val="center"/>
        <w:rPr>
          <w:rFonts w:ascii="华文中宋" w:hAnsi="华文中宋" w:eastAsia="华文中宋" w:cs="宋体"/>
          <w:kern w:val="0"/>
          <w:sz w:val="44"/>
          <w:szCs w:val="44"/>
        </w:rPr>
      </w:pPr>
      <w:bookmarkStart w:id="0" w:name="_GoBack"/>
      <w:bookmarkEnd w:id="0"/>
      <w:r>
        <w:rPr>
          <w:rFonts w:hint="eastAsia" w:ascii="华文中宋" w:hAnsi="华文中宋" w:eastAsia="华文中宋" w:cs="宋体"/>
          <w:kern w:val="0"/>
          <w:sz w:val="44"/>
          <w:szCs w:val="44"/>
        </w:rPr>
        <w:t>危险化学品企业生产安全事故应急准备工作表</w:t>
      </w:r>
    </w:p>
    <w:p>
      <w:pPr>
        <w:widowControl/>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要素1：思想理念</w:t>
      </w:r>
    </w:p>
    <w:tbl>
      <w:tblPr>
        <w:tblStyle w:val="11"/>
        <w:tblW w:w="13879" w:type="dxa"/>
        <w:tblInd w:w="0" w:type="dxa"/>
        <w:tblLayout w:type="fixed"/>
        <w:tblCellMar>
          <w:top w:w="0" w:type="dxa"/>
          <w:left w:w="108" w:type="dxa"/>
          <w:bottom w:w="0" w:type="dxa"/>
          <w:right w:w="108" w:type="dxa"/>
        </w:tblCellMar>
      </w:tblPr>
      <w:tblGrid>
        <w:gridCol w:w="666"/>
        <w:gridCol w:w="1199"/>
        <w:gridCol w:w="4444"/>
        <w:gridCol w:w="7570"/>
      </w:tblGrid>
      <w:tr>
        <w:tblPrEx>
          <w:tblCellMar>
            <w:top w:w="0" w:type="dxa"/>
            <w:left w:w="108" w:type="dxa"/>
            <w:bottom w:w="0" w:type="dxa"/>
            <w:right w:w="108" w:type="dxa"/>
          </w:tblCellMar>
        </w:tblPrEx>
        <w:trPr>
          <w:trHeight w:val="394"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4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354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9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安全发展红线意识</w:t>
            </w:r>
          </w:p>
        </w:tc>
        <w:tc>
          <w:tcPr>
            <w:tcW w:w="444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1.树立安全发展理念，弘扬生命至上、安全第一的思想，倡导生命至上、科学救援的应急救援理念，发展决不能以牺牲安全为代价;</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2.摆正应急管理与安全生产的关系，应急管理是安全生产的最后一道防线，应充分发挥预防、减少和消除事故等多种功能；</w:t>
            </w:r>
            <w:r>
              <w:rPr>
                <w:rFonts w:ascii="楷体_GB2312" w:hAnsi="宋体" w:eastAsia="楷体_GB2312" w:cs="宋体"/>
                <w:kern w:val="0"/>
                <w:szCs w:val="21"/>
              </w:rPr>
              <w:t xml:space="preserve"> </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3.坚持“救早救小”原则，提高第一时间响应效率；</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4.明确“救人”为应急救援的首要任务，在救援过程中，确保救援人员安全，遇到突发情况危及救援人员生命安全时，迅速撤出救援人员。</w:t>
            </w:r>
          </w:p>
        </w:tc>
        <w:tc>
          <w:tcPr>
            <w:tcW w:w="757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1.习近平总书记对全国安全生产监管监察系统先进集体和先进工作者表彰大会（2016年10月31日）作出的指示。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2.党的十九大报告有关要求。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3.《中共中央 国务院关于推进安全生产领域改革发展的意见》有关要求。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4.《国务院安委会关于进一步加强生产安全事故应急处置工作的通知》（安委〔2013〕8号）三、进一步规范事故现场应急处置（四）确保安全有效施救。</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5.《中华人民共和国安全生产法》第三条。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6.《危险化学品事故应急救援指挥导则》（AQ/T 3052-2015）5.3.1.3。</w:t>
            </w:r>
          </w:p>
        </w:tc>
      </w:tr>
      <w:tr>
        <w:tblPrEx>
          <w:tblCellMar>
            <w:top w:w="0" w:type="dxa"/>
            <w:left w:w="108" w:type="dxa"/>
            <w:bottom w:w="0" w:type="dxa"/>
            <w:right w:w="108" w:type="dxa"/>
          </w:tblCellMar>
        </w:tblPrEx>
        <w:trPr>
          <w:trHeight w:val="2725"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9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风险防控底线思维</w:t>
            </w:r>
          </w:p>
        </w:tc>
        <w:tc>
          <w:tcPr>
            <w:tcW w:w="444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1.坚持底线思维，制订有效的防控措施,化解重大安全风险，遏制重特大事故发生;</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2.科学设定安全生产应急工作指标。</w:t>
            </w:r>
          </w:p>
        </w:tc>
        <w:tc>
          <w:tcPr>
            <w:tcW w:w="757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1.党的十九大报告有关要求。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2.《中共中央 国务院关于推进安全生产领域改革发展的意见》</w:t>
            </w:r>
            <w:r>
              <w:rPr>
                <w:rFonts w:ascii="楷体_GB2312" w:hAnsi="宋体" w:eastAsia="楷体_GB2312" w:cs="宋体"/>
                <w:kern w:val="0"/>
                <w:szCs w:val="21"/>
              </w:rPr>
              <w:t>(七)健全责任考核机制。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3.《中华人民共和国安全生产法》第三条。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4.《中华人民共和国突发事件应对法》第五条。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5.《危险化学品安全管理条例》第四条。</w:t>
            </w:r>
          </w:p>
        </w:tc>
      </w:tr>
    </w:tbl>
    <w:p>
      <w:pPr>
        <w:widowControl/>
        <w:jc w:val="left"/>
        <w:rPr>
          <w:rFonts w:ascii="仿宋_GB2312" w:hAnsi="宋体" w:eastAsia="仿宋_GB2312"/>
          <w:sz w:val="32"/>
          <w:szCs w:val="32"/>
        </w:rPr>
      </w:pPr>
      <w:r>
        <w:rPr>
          <w:rFonts w:ascii="仿宋_GB2312" w:hAnsi="宋体" w:eastAsia="仿宋_GB2312"/>
          <w:sz w:val="32"/>
          <w:szCs w:val="32"/>
        </w:rPr>
        <w:br w:type="page"/>
      </w:r>
    </w:p>
    <w:p>
      <w:pPr>
        <w:widowControl/>
        <w:jc w:val="left"/>
        <w:rPr>
          <w:rFonts w:ascii="仿宋_GB2312" w:hAnsi="宋体" w:eastAsia="仿宋_GB2312"/>
          <w:sz w:val="32"/>
          <w:szCs w:val="32"/>
        </w:rPr>
      </w:pPr>
      <w:r>
        <w:rPr>
          <w:rFonts w:hint="eastAsia" w:ascii="楷体_GB2312" w:hAnsi="宋体" w:eastAsia="楷体_GB2312" w:cs="宋体"/>
          <w:b/>
          <w:kern w:val="0"/>
          <w:szCs w:val="21"/>
        </w:rPr>
        <w:t>要素1：思想理念 （续）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39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987"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应急管理法治化</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1.依法依规建立健全各项应急管理制度；</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2.依法依规开展各项应急工作。</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2.《危险化学品安全管理条例》第四条。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w:t>
            </w:r>
          </w:p>
        </w:tc>
      </w:tr>
      <w:tr>
        <w:tblPrEx>
          <w:tblCellMar>
            <w:top w:w="0" w:type="dxa"/>
            <w:left w:w="108" w:type="dxa"/>
            <w:bottom w:w="0" w:type="dxa"/>
            <w:right w:w="108" w:type="dxa"/>
          </w:tblCellMar>
        </w:tblPrEx>
        <w:trPr>
          <w:trHeight w:val="496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生命至上科学救援</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1.深入开展风险评估，通过风险辨识、分析、评价，掌握事故的性质、特点和可能造成的危害；</w:t>
            </w:r>
          </w:p>
          <w:p>
            <w:pPr>
              <w:widowControl/>
              <w:jc w:val="left"/>
              <w:rPr>
                <w:rFonts w:ascii="楷体_GB2312" w:hAnsi="宋体" w:eastAsia="楷体_GB2312" w:cs="宋体"/>
                <w:kern w:val="0"/>
                <w:szCs w:val="21"/>
              </w:rPr>
            </w:pPr>
            <w:r>
              <w:rPr>
                <w:rFonts w:ascii="楷体_GB2312" w:hAnsi="宋体" w:eastAsia="楷体_GB2312" w:cs="宋体"/>
                <w:kern w:val="0"/>
                <w:szCs w:val="21"/>
              </w:rPr>
              <w:t>2</w:t>
            </w:r>
            <w:r>
              <w:rPr>
                <w:rFonts w:hint="eastAsia" w:ascii="楷体_GB2312" w:hAnsi="宋体" w:eastAsia="楷体_GB2312" w:cs="宋体"/>
                <w:kern w:val="0"/>
                <w:szCs w:val="21"/>
              </w:rPr>
              <w:t>.</w:t>
            </w:r>
            <w:r>
              <w:rPr>
                <w:rFonts w:ascii="楷体_GB2312" w:hAnsi="宋体" w:eastAsia="楷体_GB2312" w:cs="宋体"/>
                <w:kern w:val="0"/>
                <w:szCs w:val="21"/>
              </w:rPr>
              <w:t>强化事故现场处置，赋予生产现场带班人员、班组长和调度人员直接决策权和指挥权，使其在遇到险情或事故征兆时能立即下达停产撤人命令，组织涉险区域人员及时、有序撤离到安全地点，减少事故造成的人员伤亡</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r>
              <w:rPr>
                <w:rFonts w:ascii="楷体_GB2312" w:hAnsi="宋体" w:eastAsia="楷体_GB2312" w:cs="宋体"/>
                <w:kern w:val="0"/>
                <w:szCs w:val="21"/>
              </w:rPr>
              <w:t>3</w:t>
            </w:r>
            <w:r>
              <w:rPr>
                <w:rFonts w:hint="eastAsia" w:ascii="楷体_GB2312" w:hAnsi="宋体" w:eastAsia="楷体_GB2312" w:cs="宋体"/>
                <w:kern w:val="0"/>
                <w:szCs w:val="21"/>
              </w:rPr>
              <w:t>.在行动前要了解有关危险因素，明确防范措施，科学组织救援，积极搜救遇险人员。遇到突发情况危及救援人员生命安全时，救援队伍指挥员有权作出处置决定，迅速带领救援人员撤出危险区域，并及时报告指挥部；</w:t>
            </w:r>
          </w:p>
          <w:p>
            <w:pPr>
              <w:widowControl/>
              <w:jc w:val="left"/>
              <w:rPr>
                <w:rFonts w:ascii="楷体_GB2312" w:hAnsi="宋体" w:eastAsia="楷体_GB2312" w:cs="宋体"/>
                <w:kern w:val="0"/>
                <w:szCs w:val="21"/>
              </w:rPr>
            </w:pPr>
            <w:r>
              <w:rPr>
                <w:rFonts w:ascii="楷体_GB2312" w:hAnsi="宋体" w:eastAsia="楷体_GB2312" w:cs="宋体"/>
                <w:kern w:val="0"/>
                <w:szCs w:val="21"/>
              </w:rPr>
              <w:t>4</w:t>
            </w:r>
            <w:r>
              <w:rPr>
                <w:rFonts w:hint="eastAsia" w:ascii="楷体_GB2312" w:hAnsi="宋体" w:eastAsia="楷体_GB2312" w:cs="宋体"/>
                <w:kern w:val="0"/>
                <w:szCs w:val="21"/>
              </w:rPr>
              <w:t>.各种预案具有科学性、针对性和可操作性；</w:t>
            </w:r>
          </w:p>
          <w:p>
            <w:pPr>
              <w:jc w:val="left"/>
              <w:rPr>
                <w:rFonts w:ascii="楷体_GB2312" w:hAnsi="宋体" w:eastAsia="楷体_GB2312" w:cs="宋体"/>
                <w:kern w:val="0"/>
                <w:szCs w:val="21"/>
              </w:rPr>
            </w:pPr>
            <w:r>
              <w:rPr>
                <w:rFonts w:ascii="楷体_GB2312" w:hAnsi="宋体" w:eastAsia="楷体_GB2312" w:cs="宋体"/>
                <w:kern w:val="0"/>
                <w:szCs w:val="21"/>
              </w:rPr>
              <w:t>5</w:t>
            </w:r>
            <w:r>
              <w:rPr>
                <w:rFonts w:hint="eastAsia" w:ascii="楷体_GB2312" w:hAnsi="宋体" w:eastAsia="楷体_GB2312" w:cs="宋体"/>
                <w:kern w:val="0"/>
                <w:szCs w:val="21"/>
              </w:rPr>
              <w:t>.各项应急准备措施落实到位。</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1.《国务院关于进一步加强企业安全生产工作的通知》</w:t>
            </w:r>
            <w:r>
              <w:rPr>
                <w:rFonts w:ascii="楷体_GB2312" w:hAnsi="宋体" w:eastAsia="楷体_GB2312" w:cs="宋体"/>
                <w:kern w:val="0"/>
                <w:szCs w:val="21"/>
              </w:rPr>
              <w:t>17.完善企业应急预案。</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2.《国务院安委会关于进一步加强生产安全事故应急处置工作的通知》（安委〔2013〕8号）三、进一步规范事故现场应急处置（四）确保安全有效施救。</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3.《中华人民共和国突发事件应对法》第十八条。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4.《生产安全事故应急条例》第五条、第六条。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5.《生产安全事故应急预案管理办法》（国家安全生产监督管理总局令第88号，根据应急管理部令第2号修正）第七条、第十条。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6.《国家安全监管总局关于加强科学施救提高生产安全事故灾难应急救援水平的指导意见》（安监总应急〔2012〕147号）（八）完善安全生产应急响应机制、（十四）加强应急预案与演练工作、（十五）加强高危行业企业相关人员的培训教育。</w:t>
            </w:r>
          </w:p>
          <w:p>
            <w:pPr>
              <w:jc w:val="left"/>
              <w:rPr>
                <w:rFonts w:ascii="楷体_GB2312" w:hAnsi="宋体" w:eastAsia="楷体_GB2312" w:cs="宋体"/>
                <w:kern w:val="0"/>
                <w:szCs w:val="21"/>
              </w:rPr>
            </w:pPr>
          </w:p>
        </w:tc>
      </w:tr>
    </w:tbl>
    <w:p>
      <w:pPr>
        <w:spacing w:line="560" w:lineRule="exact"/>
        <w:jc w:val="left"/>
        <w:rPr>
          <w:rFonts w:ascii="仿宋_GB2312" w:hAnsi="宋体" w:eastAsia="仿宋_GB2312"/>
          <w:sz w:val="32"/>
          <w:szCs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要素2：组织与职责</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63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30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应急组织</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1.设置负有应急管理职责的安全生产管理机构或配备负有应急管理职责的专职安全生产人员；</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w:t>
            </w:r>
            <w:r>
              <w:rPr>
                <w:rFonts w:ascii="楷体_GB2312" w:hAnsi="宋体" w:eastAsia="楷体_GB2312" w:cs="宋体"/>
                <w:kern w:val="0"/>
                <w:szCs w:val="21"/>
              </w:rPr>
              <w:t>中央企业应当</w:t>
            </w:r>
            <w:r>
              <w:rPr>
                <w:rFonts w:hint="eastAsia" w:ascii="楷体_GB2312" w:hAnsi="宋体" w:eastAsia="楷体_GB2312" w:cs="宋体"/>
                <w:kern w:val="0"/>
                <w:szCs w:val="21"/>
              </w:rPr>
              <w:t>按规定</w:t>
            </w:r>
            <w:r>
              <w:rPr>
                <w:rFonts w:ascii="楷体_GB2312" w:hAnsi="宋体" w:eastAsia="楷体_GB2312" w:cs="宋体"/>
                <w:kern w:val="0"/>
                <w:szCs w:val="21"/>
              </w:rPr>
              <w:t>建立健全应急管理组织体系，明确本企业应急管理的综合协调部门和各类突发事件分管部门的职责</w:t>
            </w:r>
            <w:r>
              <w:rPr>
                <w:rFonts w:hint="eastAsia" w:ascii="楷体_GB2312" w:hAnsi="宋体" w:eastAsia="楷体_GB2312" w:cs="宋体"/>
                <w:kern w:val="0"/>
                <w:szCs w:val="21"/>
              </w:rPr>
              <w:t>；</w:t>
            </w:r>
          </w:p>
          <w:p>
            <w:pPr>
              <w:jc w:val="left"/>
              <w:rPr>
                <w:rFonts w:ascii="楷体_GB2312" w:hAnsi="宋体" w:eastAsia="楷体_GB2312" w:cs="宋体"/>
                <w:kern w:val="0"/>
                <w:szCs w:val="21"/>
              </w:rPr>
            </w:pPr>
            <w:r>
              <w:rPr>
                <w:rFonts w:hint="eastAsia" w:ascii="楷体_GB2312" w:hAnsi="宋体" w:eastAsia="楷体_GB2312" w:cs="宋体"/>
                <w:kern w:val="0"/>
                <w:szCs w:val="21"/>
              </w:rPr>
              <w:t>3.规模较大、危险性较高的易燃易爆物品、危险化学品等危险物品的生产、经营、储存单位应当成立应急处置技术组，实行24小时应急值班；</w:t>
            </w:r>
          </w:p>
          <w:p>
            <w:pPr>
              <w:jc w:val="left"/>
              <w:rPr>
                <w:rFonts w:ascii="楷体_GB2312" w:hAnsi="宋体" w:eastAsia="楷体_GB2312" w:cs="宋体"/>
                <w:kern w:val="0"/>
                <w:szCs w:val="21"/>
              </w:rPr>
            </w:pPr>
            <w:r>
              <w:rPr>
                <w:rFonts w:hint="eastAsia" w:ascii="楷体_GB2312" w:hAnsi="宋体" w:eastAsia="楷体_GB2312" w:cs="宋体"/>
                <w:kern w:val="0"/>
                <w:szCs w:val="21"/>
              </w:rPr>
              <w:t>4.建立包括工艺、设备、电气、消（气）防、安全、环保等专业的应急专家库，为处置突发事件提供技术支撑。</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国务院关于推进安全生产领域改革发展的意见》（六）严格落实企业主体责任。</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2.《中华人民共和国安全生产法》第五条、第二十一条。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4.《中央企业应急管理暂行办法》（国务院国有资产监督管理委员会令31号）第十一条。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5.《企业安全生产标准化基本规范》（GB/T 33000-2016）5.6.1.1 应急救援组织。</w:t>
            </w:r>
          </w:p>
          <w:p>
            <w:pPr>
              <w:jc w:val="left"/>
              <w:rPr>
                <w:rFonts w:ascii="楷体_GB2312" w:hAnsi="宋体" w:eastAsia="楷体_GB2312" w:cs="宋体"/>
                <w:kern w:val="0"/>
                <w:szCs w:val="21"/>
              </w:rPr>
            </w:pPr>
            <w:r>
              <w:rPr>
                <w:rFonts w:hint="eastAsia" w:ascii="楷体_GB2312" w:hAnsi="宋体" w:eastAsia="楷体_GB2312" w:cs="宋体"/>
                <w:kern w:val="0"/>
                <w:szCs w:val="21"/>
              </w:rPr>
              <w:t>6.《生产经营单位生产安全事故应急预案编制导则》（GB/T29639-2013）6.8.2。7.《国家安全监管总局关于加强科学施救提高生产安全事故灾难应急救援水平的指导意见》（安监总应急〔2012〕147号）（八）完善安全生产应急响应机制。</w:t>
            </w:r>
          </w:p>
          <w:p>
            <w:pPr>
              <w:jc w:val="left"/>
              <w:rPr>
                <w:rFonts w:ascii="楷体_GB2312" w:hAnsi="宋体" w:eastAsia="楷体_GB2312" w:cs="宋体"/>
                <w:kern w:val="0"/>
                <w:szCs w:val="21"/>
              </w:rPr>
            </w:pPr>
            <w:r>
              <w:rPr>
                <w:rFonts w:hint="eastAsia" w:ascii="楷体_GB2312" w:hAnsi="宋体" w:eastAsia="楷体_GB2312" w:cs="宋体"/>
                <w:kern w:val="0"/>
                <w:szCs w:val="21"/>
              </w:rPr>
              <w:t>8.《国家安全监管总局关于加强化工过程安全管理的指导意见》（安监总管三〔2013〕88号）（二十六）提高应急响应能力。</w:t>
            </w:r>
          </w:p>
        </w:tc>
      </w:tr>
      <w:tr>
        <w:tblPrEx>
          <w:tblCellMar>
            <w:top w:w="0" w:type="dxa"/>
            <w:left w:w="108" w:type="dxa"/>
            <w:bottom w:w="0" w:type="dxa"/>
            <w:right w:w="108" w:type="dxa"/>
          </w:tblCellMar>
        </w:tblPrEx>
        <w:trPr>
          <w:trHeight w:val="312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职责任务</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 建立健全各级生产安全事故应急工作责任制；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2.企业主要负责人对本单位的生产安全事故应急工作全面负责；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3.法定代表人和实际控制人同为安全生产第一责任人，主要技术负责人负有安全生产技术决策和指挥权；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4.各分管负责人应当按照职责分工落实应急预案规定的职责；</w:t>
            </w:r>
          </w:p>
          <w:p>
            <w:pPr>
              <w:jc w:val="left"/>
              <w:rPr>
                <w:rFonts w:ascii="楷体_GB2312" w:hAnsi="宋体" w:eastAsia="楷体_GB2312" w:cs="宋体"/>
                <w:kern w:val="0"/>
                <w:szCs w:val="21"/>
              </w:rPr>
            </w:pPr>
            <w:r>
              <w:rPr>
                <w:rFonts w:hint="eastAsia" w:ascii="楷体_GB2312" w:hAnsi="宋体" w:eastAsia="楷体_GB2312" w:cs="宋体"/>
                <w:kern w:val="0"/>
                <w:szCs w:val="21"/>
              </w:rPr>
              <w:t>5.在应急制度、预案中对组织机构、人员及职责进行明确规定。</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国务院关于推进安全生产领域改革发展的意见》（六）严格落实企业主体责任。</w:t>
            </w:r>
          </w:p>
          <w:p>
            <w:pPr>
              <w:jc w:val="left"/>
              <w:rPr>
                <w:rFonts w:ascii="楷体_GB2312" w:hAnsi="宋体" w:eastAsia="楷体_GB2312" w:cs="宋体"/>
                <w:kern w:val="0"/>
                <w:szCs w:val="21"/>
              </w:rPr>
            </w:pPr>
            <w:r>
              <w:rPr>
                <w:rFonts w:hint="eastAsia" w:ascii="楷体_GB2312" w:hAnsi="宋体" w:eastAsia="楷体_GB2312" w:cs="宋体"/>
                <w:kern w:val="0"/>
                <w:szCs w:val="21"/>
              </w:rPr>
              <w:t>2.《中华人民共和国安全生产法》第十八条。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w:t>
            </w:r>
          </w:p>
          <w:p>
            <w:pPr>
              <w:widowControl/>
              <w:jc w:val="left"/>
              <w:rPr>
                <w:rFonts w:ascii="楷体_GB2312" w:hAnsi="宋体" w:eastAsia="楷体_GB2312" w:cs="宋体"/>
                <w:kern w:val="0"/>
                <w:szCs w:val="21"/>
              </w:rPr>
            </w:pPr>
            <w:r>
              <w:rPr>
                <w:rFonts w:ascii="楷体_GB2312" w:hAnsi="宋体" w:eastAsia="楷体_GB2312" w:cs="宋体"/>
                <w:kern w:val="0"/>
                <w:szCs w:val="21"/>
              </w:rPr>
              <w:t>4.</w:t>
            </w:r>
            <w:r>
              <w:rPr>
                <w:rFonts w:hint="eastAsia" w:ascii="楷体_GB2312" w:hAnsi="宋体" w:eastAsia="楷体_GB2312" w:cs="宋体"/>
                <w:kern w:val="0"/>
                <w:szCs w:val="21"/>
              </w:rPr>
              <w:t>《生产安全事故应急预案管理办法》（国家安全生产监督管理总局令第88号，根据应急管理部令第2号修正）第五条。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5.《中央企业应急管理暂行办法》（国务院国有资产监督管理委员会令31号）第十一条。</w:t>
            </w:r>
          </w:p>
        </w:tc>
      </w:tr>
    </w:tbl>
    <w:p>
      <w:pPr>
        <w:widowControl/>
        <w:jc w:val="center"/>
        <w:rPr>
          <w:rFonts w:ascii="仿宋_GB2312" w:hAnsi="宋体" w:eastAsia="仿宋_GB2312"/>
          <w:sz w:val="32"/>
          <w:szCs w:val="32"/>
        </w:rPr>
      </w:pPr>
    </w:p>
    <w:p>
      <w:pPr>
        <w:widowControl/>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要素3：法律法规</w:t>
      </w:r>
    </w:p>
    <w:tbl>
      <w:tblPr>
        <w:tblStyle w:val="11"/>
        <w:tblW w:w="140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453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0"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法律法规识别</w:t>
            </w:r>
          </w:p>
        </w:tc>
        <w:tc>
          <w:tcPr>
            <w:tcW w:w="4536"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1.建立安全生产应急管理法律、法规、标准、规范的管理制度，明确主管部门，确定获取的渠道、方式；</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2.及时识别和获取适用、有效的法律法规、标准规范；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3.建立法律法规、标准规范清单和文本数据库，并及时更新。</w:t>
            </w:r>
          </w:p>
        </w:tc>
        <w:tc>
          <w:tcPr>
            <w:tcW w:w="765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1.《企业安全生产标准化基本规范》（GB/T 33000-2016）5.2.1 法规标准识别。2.《危险化学品从业单位安全生产标准化评审标准》（安监总管三〔2011〕93号）要素一。</w:t>
            </w:r>
            <w:r>
              <w:rPr>
                <w:rFonts w:hint="eastAsia" w:ascii="楷体_GB2312" w:hAnsi="宋体" w:eastAsia="楷体_GB2312" w:cs="宋体"/>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10" w:type="dxa"/>
            <w:shd w:val="clear" w:color="000000" w:fill="FFFFFF"/>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shd w:val="clear" w:color="000000" w:fill="FFFFFF"/>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法律法规转化</w:t>
            </w:r>
          </w:p>
        </w:tc>
        <w:tc>
          <w:tcPr>
            <w:tcW w:w="4536" w:type="dxa"/>
            <w:shd w:val="clear" w:color="000000" w:fill="FFFFFF"/>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1.将识别出的应急法律、法规、标准、规范要求，转化为企业应急管理制度、工作措施或工作任务等；</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2.对相关人员进行培训。</w:t>
            </w:r>
          </w:p>
        </w:tc>
        <w:tc>
          <w:tcPr>
            <w:tcW w:w="765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1.《企业安全生产标准化基本规范》（GB/T 33000-2016）5.2.1 法规标准识别。</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2.《危险化学品从业单位安全生产标准化评审标准》（安监总管三〔2011〕93号）要素四。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建立应急管理制度</w:t>
            </w:r>
          </w:p>
          <w:p>
            <w:pPr>
              <w:jc w:val="center"/>
              <w:rPr>
                <w:rFonts w:ascii="楷体_GB2312" w:hAnsi="宋体" w:eastAsia="楷体_GB2312" w:cs="宋体"/>
                <w:kern w:val="0"/>
                <w:szCs w:val="21"/>
              </w:rPr>
            </w:pPr>
          </w:p>
        </w:tc>
        <w:tc>
          <w:tcPr>
            <w:tcW w:w="4536"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1.应建立健全应急值班值守、信息报告、应急投入、物资保障、人员培训及预案管理（定期评估、修订、备案、公布）等应急救援管理制度，应明确并公示本企业应急领导小组及联系方式等信息；</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2.根据《生产安全事故应急预案管理办法》及有关标准、规定编制应急预案管理制度；</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3.建立应急救援物资的有关制度和记录：物资清单、物资使用管理制度、物资测试检修制度、物资租用制度、资料管理制度、物资调用和使用记录、物资检查维护、报废及更新记录。</w:t>
            </w:r>
          </w:p>
        </w:tc>
        <w:tc>
          <w:tcPr>
            <w:tcW w:w="7654" w:type="dxa"/>
            <w:shd w:val="clear" w:color="auto" w:fill="auto"/>
            <w:vAlign w:val="center"/>
          </w:tcPr>
          <w:p>
            <w:pPr>
              <w:widowControl/>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2.《生产安全事故应急预案管理办法》（国家安全生产监督管理总局令第88号，根据应急管理部令第2号修正）第三十五条。</w:t>
            </w:r>
          </w:p>
          <w:p>
            <w:pPr>
              <w:widowControl/>
              <w:rPr>
                <w:rFonts w:ascii="楷体_GB2312" w:hAnsi="宋体" w:eastAsia="楷体_GB2312" w:cs="宋体"/>
                <w:kern w:val="0"/>
                <w:szCs w:val="21"/>
              </w:rPr>
            </w:pPr>
            <w:r>
              <w:rPr>
                <w:rFonts w:hint="eastAsia" w:ascii="楷体_GB2312" w:hAnsi="宋体" w:eastAsia="楷体_GB2312" w:cs="宋体"/>
                <w:kern w:val="0"/>
                <w:szCs w:val="21"/>
              </w:rPr>
              <w:t>3.《中央企业应急管理暂行办法》(国务院国有资产监督管理委员会令31号)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4.《危险化学品单位应急救援物资配备要求》（GB30077-2013）9.1。</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5.《危险化学品应急救援管理人员培训及考核要求》（AQ/T3043-2013）4 培训要求。</w:t>
            </w:r>
          </w:p>
          <w:p>
            <w:pPr>
              <w:widowControl/>
              <w:rPr>
                <w:rFonts w:ascii="楷体_GB2312" w:hAnsi="宋体" w:eastAsia="楷体_GB2312" w:cs="宋体"/>
                <w:kern w:val="0"/>
                <w:szCs w:val="21"/>
              </w:rPr>
            </w:pPr>
            <w:r>
              <w:rPr>
                <w:rFonts w:hint="eastAsia" w:ascii="楷体_GB2312" w:hAnsi="宋体" w:eastAsia="楷体_GB2312" w:cs="宋体"/>
                <w:kern w:val="0"/>
                <w:szCs w:val="21"/>
              </w:rPr>
              <w:t>6.《国务院安委会办公室关于贯彻落实国务院&lt;通知&gt;精神进一步加强安全生产应急救援体系建设的实施意见》（安委办〔2010〕25号）（十五）进一步加强安全生产应急工作法制建设。</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7.《危险化学品从业单位安全生产标准化评审标准》（安监总管三〔2011〕93号）要素四。</w:t>
            </w:r>
          </w:p>
        </w:tc>
      </w:tr>
    </w:tbl>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要素4：风险评估</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103"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风险辨识</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运用标准比对（如《生产过程危险和有害因素分类与代码》《危险化学品重大危险源辨识》</w:t>
            </w:r>
            <w:r>
              <w:rPr>
                <w:rFonts w:ascii="楷体_GB2312" w:hAnsi="宋体" w:eastAsia="楷体_GB2312" w:cs="宋体"/>
                <w:kern w:val="0"/>
                <w:szCs w:val="21"/>
              </w:rPr>
              <w:t>《职业病危害因素分类目录》</w:t>
            </w:r>
            <w:r>
              <w:rPr>
                <w:rFonts w:hint="eastAsia" w:ascii="楷体_GB2312" w:hAnsi="宋体" w:eastAsia="楷体_GB2312" w:cs="宋体"/>
                <w:kern w:val="0"/>
                <w:szCs w:val="21"/>
              </w:rPr>
              <w:t>）、检查表、风险矩阵等方法，辨识危险有害因素、风险源、可能的事故及原因、后果等。</w:t>
            </w:r>
          </w:p>
        </w:tc>
        <w:tc>
          <w:tcPr>
            <w:tcW w:w="765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4.《生产经营单位生产安全事故应急预案编制导则》（GB/T 29639-2013）4.4风险评估。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5.《风险管理 原则与实施指南》（GB/T24353-2009）5.3风险评估。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6.《风险管理 风险评估技术》（GB/T27921-2011）6风险评估技术的选择。</w:t>
            </w:r>
          </w:p>
        </w:tc>
      </w:tr>
      <w:tr>
        <w:tblPrEx>
          <w:tblCellMar>
            <w:top w:w="0" w:type="dxa"/>
            <w:left w:w="108" w:type="dxa"/>
            <w:bottom w:w="0" w:type="dxa"/>
            <w:right w:w="108" w:type="dxa"/>
          </w:tblCellMar>
        </w:tblPrEx>
        <w:trPr>
          <w:trHeight w:val="1818"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风险分析</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根据风险分析的目的、获得的信息数据和资源，采用定性、定量或定性、定量相结合的方法，对辨识出的风险后果的严重性、发生的可能性进行分析，为风险评价和应对提供支持。</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一般情况下，首先采取定性分析，初步了解风险等级和揭示主要风险。</w:t>
            </w:r>
          </w:p>
        </w:tc>
        <w:tc>
          <w:tcPr>
            <w:tcW w:w="765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3.《中央企业应急管理暂行办法》(国务院国有资产监督管理委员会令31号) 第十四条。</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4.《生产经营单位生产安全事故应急预案编制导则》（GB/T 29639-2013)4.4风险评估。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5.《风险管理 原则与实施指南》（GB/T24353-2009）5.3风险评估。</w:t>
            </w:r>
          </w:p>
        </w:tc>
      </w:tr>
      <w:tr>
        <w:tblPrEx>
          <w:tblCellMar>
            <w:top w:w="0" w:type="dxa"/>
            <w:left w:w="108" w:type="dxa"/>
            <w:bottom w:w="0" w:type="dxa"/>
            <w:right w:w="108" w:type="dxa"/>
          </w:tblCellMar>
        </w:tblPrEx>
        <w:trPr>
          <w:trHeight w:val="227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风险评价</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1.确定风险等级，根据可接受风险程度，提出针对性的风险防控措施；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通过定量风险分析确定的重大危险源的个人和社会风险值，不得超过《危险化学品重大危险源监督管理暂行规定》中可容许风险限值标准，超过个人和社会可容许风险限值标准的，危险化学品单位应当采取相应的降低风险措施。</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3.《危险化学品重大危险源监督管理暂行规定》（国家安全生产监督管理总局令第40号，根据国家安全监管总局令第79号修正）第十四条。</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4.《中央企业应急管理暂行办法》(国务院国有资产监督管理委员会令31号)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5.《生产经营单位生产安全事故应急预案编制导则》（GB/T 29639-2013)4.4风险评估。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6.《风险管理 原则与实施指南》（GB/T24353-2009）5.3风险评估。</w:t>
            </w:r>
          </w:p>
        </w:tc>
      </w:tr>
      <w:tr>
        <w:tblPrEx>
          <w:tblCellMar>
            <w:top w:w="0" w:type="dxa"/>
            <w:left w:w="108" w:type="dxa"/>
            <w:bottom w:w="0" w:type="dxa"/>
            <w:right w:w="108" w:type="dxa"/>
          </w:tblCellMar>
        </w:tblPrEx>
        <w:trPr>
          <w:trHeight w:val="74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情景构建</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运用情景构建技术，准确揭示本企业小概率、高后果的“巨灾事故”。</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《风险管理 风险评估技术》（GB/T27921-2011）附录B（资料性附录）风险评估技术B.4情景分析。</w:t>
            </w:r>
          </w:p>
        </w:tc>
      </w:tr>
    </w:tbl>
    <w:p>
      <w:pPr>
        <w:widowControl/>
        <w:jc w:val="left"/>
        <w:rPr>
          <w:rFonts w:ascii="楷体_GB2312" w:hAnsi="宋体" w:eastAsia="楷体_GB2312" w:cs="宋体"/>
          <w:kern w:val="0"/>
          <w:szCs w:val="21"/>
        </w:rPr>
      </w:pP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要素5：预案管理</w:t>
      </w:r>
    </w:p>
    <w:tbl>
      <w:tblPr>
        <w:tblStyle w:val="11"/>
        <w:tblW w:w="14034" w:type="dxa"/>
        <w:tblInd w:w="-318" w:type="dxa"/>
        <w:tblLayout w:type="fixed"/>
        <w:tblCellMar>
          <w:top w:w="0" w:type="dxa"/>
          <w:left w:w="108" w:type="dxa"/>
          <w:bottom w:w="0" w:type="dxa"/>
          <w:right w:w="108" w:type="dxa"/>
        </w:tblCellMar>
      </w:tblPr>
      <w:tblGrid>
        <w:gridCol w:w="710"/>
        <w:gridCol w:w="1137"/>
        <w:gridCol w:w="5950"/>
        <w:gridCol w:w="6237"/>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5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749" w:hRule="atLeast"/>
        </w:trPr>
        <w:tc>
          <w:tcPr>
            <w:tcW w:w="710" w:type="dxa"/>
            <w:vMerge w:val="restart"/>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p>
            <w:pPr>
              <w:widowControl/>
              <w:jc w:val="center"/>
              <w:rPr>
                <w:rFonts w:ascii="楷体_GB2312" w:hAnsi="宋体" w:eastAsia="楷体_GB2312" w:cs="宋体"/>
                <w:kern w:val="0"/>
                <w:szCs w:val="21"/>
              </w:rPr>
            </w:pPr>
          </w:p>
        </w:tc>
        <w:tc>
          <w:tcPr>
            <w:tcW w:w="1137" w:type="dxa"/>
            <w:vMerge w:val="restart"/>
            <w:tcBorders>
              <w:top w:val="nil"/>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1.企业应成立应急预案编制工作小组：由本单位有关负责人任组长，吸收与应急预案有关的职能部门和单位的人员，以及有现场处置经验的人员、专家参加。</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1.《中华人民共和国安全生产法》第十八条、第二十二条。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2.《生产安全事故应急预案管理办法》（国家安全生产监督管理总局令第88号，根据应急管理部令第2号修正）第九条、第三十五条 。</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3.《生产经营单位生产安全事故应急预案评估指南》（</w:t>
            </w:r>
            <w:r>
              <w:rPr>
                <w:rFonts w:ascii="楷体_GB2312" w:hAnsi="宋体" w:eastAsia="楷体_GB2312" w:cs="宋体"/>
                <w:kern w:val="0"/>
                <w:szCs w:val="21"/>
              </w:rPr>
              <w:t>AQ</w:t>
            </w:r>
            <w:r>
              <w:rPr>
                <w:rFonts w:hint="eastAsia" w:ascii="楷体_GB2312" w:hAnsi="宋体" w:eastAsia="楷体_GB2312" w:cs="宋体"/>
                <w:kern w:val="0"/>
                <w:szCs w:val="21"/>
              </w:rPr>
              <w:t>/T 9011</w:t>
            </w:r>
            <w:r>
              <w:rPr>
                <w:rFonts w:ascii="楷体_GB2312" w:hAnsi="宋体" w:eastAsia="楷体_GB2312" w:cs="宋体"/>
                <w:kern w:val="0"/>
                <w:szCs w:val="21"/>
              </w:rPr>
              <w:t>—</w:t>
            </w:r>
            <w:r>
              <w:rPr>
                <w:rFonts w:hint="eastAsia" w:ascii="楷体_GB2312" w:hAnsi="宋体" w:eastAsia="楷体_GB2312" w:cs="宋体"/>
                <w:kern w:val="0"/>
                <w:szCs w:val="21"/>
              </w:rPr>
              <w:t>2019）5.1。</w:t>
            </w:r>
          </w:p>
        </w:tc>
      </w:tr>
      <w:tr>
        <w:tblPrEx>
          <w:tblCellMar>
            <w:top w:w="0" w:type="dxa"/>
            <w:left w:w="108" w:type="dxa"/>
            <w:bottom w:w="0" w:type="dxa"/>
            <w:right w:w="108" w:type="dxa"/>
          </w:tblCellMar>
        </w:tblPrEx>
        <w:trPr>
          <w:trHeight w:val="1111" w:hRule="atLeast"/>
        </w:trPr>
        <w:tc>
          <w:tcPr>
            <w:tcW w:w="710" w:type="dxa"/>
            <w:vMerge w:val="continue"/>
            <w:tcBorders>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2.确定应急预案编制原则与要点：应当遵循以人为本、依法依规、符合实际、注重实效的原则，以应急处置为核心，明确应急职责，规范应急程序，细化保障措施。</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《生产安全事故应急预案管理办法》（国家安全生产监督管理总局令第88号，根据应急管理部令第2号修正）第七条。</w:t>
            </w:r>
          </w:p>
        </w:tc>
      </w:tr>
      <w:tr>
        <w:tblPrEx>
          <w:tblCellMar>
            <w:top w:w="0" w:type="dxa"/>
            <w:left w:w="108" w:type="dxa"/>
            <w:bottom w:w="0" w:type="dxa"/>
            <w:right w:w="108" w:type="dxa"/>
          </w:tblCellMar>
        </w:tblPrEx>
        <w:trPr>
          <w:trHeight w:val="3753"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3.应急预案的编制应当符合下列基本要求：</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（1）有关法律、法规、规章和标准的规定；</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（2）本地区、本部门、本单位的安全生产实际情况；</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（3）本地区、本部门、本单位的危险性分析情况；</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（4）应急组织和人员的职责分工明确，并有具体的落实措施；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（5）有明确、具体的应急程序和处置措施，并与其应急能力相适应；</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（6）有明确的应急保障措施，满足本地区、本部门、本单位的应急工作需要；</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（7）应急预案基本要素齐全、完整，应急预案附件提供的信息准确；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（8）应急预案内容与相关应急预案相互衔接。</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《生产安全事故应急预案管理办法》（国家安全生产监督管理总局令第88号，根据应急管理部令第2号修正）第八条。</w:t>
            </w:r>
          </w:p>
        </w:tc>
      </w:tr>
    </w:tbl>
    <w:p>
      <w:pPr>
        <w:spacing w:line="560" w:lineRule="exact"/>
        <w:jc w:val="left"/>
        <w:rPr>
          <w:rFonts w:ascii="仿宋_GB2312" w:hAnsi="宋体" w:eastAsia="仿宋_GB2312"/>
          <w:sz w:val="32"/>
          <w:szCs w:val="32"/>
        </w:rPr>
      </w:pPr>
    </w:p>
    <w:p>
      <w:pPr>
        <w:spacing w:line="560" w:lineRule="exact"/>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11"/>
        <w:tblW w:w="140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595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595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623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710" w:type="dxa"/>
            <w:vMerge w:val="restart"/>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shd w:val="clear" w:color="auto" w:fill="auto"/>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tc>
        <w:tc>
          <w:tcPr>
            <w:tcW w:w="5953"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4.编制单位应当进行风险评估和应急资源调查。</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 第十条。</w:t>
            </w:r>
            <w:r>
              <w:rPr>
                <w:rFonts w:hint="eastAsia" w:ascii="楷体_GB2312" w:hAnsi="宋体" w:eastAsia="楷体_GB2312" w:cs="宋体"/>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710" w:type="dxa"/>
            <w:vMerge w:val="continue"/>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shd w:val="clear" w:color="auto" w:fill="auto"/>
            <w:vAlign w:val="center"/>
          </w:tcPr>
          <w:p>
            <w:pPr>
              <w:jc w:val="center"/>
              <w:rPr>
                <w:rFonts w:ascii="楷体_GB2312" w:hAnsi="宋体" w:eastAsia="楷体_GB2312" w:cs="宋体"/>
                <w:kern w:val="0"/>
                <w:szCs w:val="21"/>
              </w:rPr>
            </w:pPr>
          </w:p>
        </w:tc>
        <w:tc>
          <w:tcPr>
            <w:tcW w:w="5953"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5.应急预案体系应包括综合应急预案、专项应急预案、现场处置方案。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风险种类多、可能发生多种类型事故的，应当组织编制综合应急预案。对于某一种或者多种类型的事故风险，生产经营单位可以编制相应的专项应急预案，或将专项应急预案并入综合应急预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（2）对于危险性较大的场所、装置或者设施，生产经营单位应当编制现场处置方案。事故风险单一、危险性小的生产经营单位，可以只编制现场处置方案；</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（3）生产经营单位应当在编制应急预案的基础上，针对工作场所、岗位的特点，编制简明、实用、有效的应急处置卡，并便于从业人员携带。</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1.《生产安全事故应急预案管理办法》（国家安全生产监督管理总局令第88号，根据应急管理部令第2号修正）第六条、第十三条、第十四条、第十五条、第十九条。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2.《国家安全监管总局关于加强科学施救提高生产安全事故灾难应急救援水平的指导意见》（安监总应急〔2012〕147号）（十四）加强应急预案与演练工作。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trPr>
        <w:tc>
          <w:tcPr>
            <w:tcW w:w="710" w:type="dxa"/>
            <w:vMerge w:val="continue"/>
            <w:shd w:val="clear" w:color="auto" w:fill="auto"/>
            <w:noWrap/>
            <w:vAlign w:val="center"/>
          </w:tcPr>
          <w:p>
            <w:pPr>
              <w:jc w:val="center"/>
              <w:rPr>
                <w:rFonts w:ascii="楷体_GB2312" w:hAnsi="宋体" w:eastAsia="楷体_GB2312" w:cs="宋体"/>
                <w:kern w:val="0"/>
                <w:szCs w:val="21"/>
              </w:rPr>
            </w:pPr>
          </w:p>
        </w:tc>
        <w:tc>
          <w:tcPr>
            <w:tcW w:w="1134" w:type="dxa"/>
            <w:vMerge w:val="continue"/>
            <w:shd w:val="clear" w:color="auto" w:fill="auto"/>
            <w:vAlign w:val="center"/>
          </w:tcPr>
          <w:p>
            <w:pPr>
              <w:widowControl/>
              <w:jc w:val="center"/>
              <w:rPr>
                <w:rFonts w:ascii="楷体_GB2312" w:hAnsi="宋体" w:eastAsia="楷体_GB2312" w:cs="宋体"/>
                <w:kern w:val="0"/>
                <w:szCs w:val="21"/>
              </w:rPr>
            </w:pPr>
          </w:p>
        </w:tc>
        <w:tc>
          <w:tcPr>
            <w:tcW w:w="5953" w:type="dxa"/>
            <w:shd w:val="clear" w:color="auto" w:fill="auto"/>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6.生产安全事故应急预案的编制程序、体系构成以及综合应急预案、专项应急预案、现场处置方案和附件的主要内容应符合有关要求。</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1.《生产安全事故应急预案管理办法》（国家安全生产监督管理总局令第88号，根据应急管理部令第2号修正）第十二条、第十三条、第十四条、第十五条、第十六条、第十九条。</w:t>
            </w:r>
          </w:p>
          <w:p>
            <w:pPr>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 29639-2013)  5 应急预案体系、6 综合应急预案主要内容、7 专项应急预案主要内容、8 现场处置方案主要内容。</w:t>
            </w:r>
          </w:p>
        </w:tc>
      </w:tr>
    </w:tbl>
    <w:p>
      <w:pPr>
        <w:spacing w:line="560" w:lineRule="exact"/>
        <w:jc w:val="left"/>
        <w:rPr>
          <w:rFonts w:ascii="楷体_GB2312" w:hAnsi="宋体" w:eastAsia="楷体_GB2312" w:cs="宋体"/>
          <w:b/>
          <w:kern w:val="0"/>
          <w:szCs w:val="21"/>
        </w:rPr>
      </w:pPr>
    </w:p>
    <w:p>
      <w:pPr>
        <w:widowControl/>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11"/>
        <w:tblW w:w="14034" w:type="dxa"/>
        <w:tblInd w:w="-318" w:type="dxa"/>
        <w:tblLayout w:type="fixed"/>
        <w:tblCellMar>
          <w:top w:w="0" w:type="dxa"/>
          <w:left w:w="108" w:type="dxa"/>
          <w:bottom w:w="0" w:type="dxa"/>
          <w:right w:w="108" w:type="dxa"/>
        </w:tblCellMar>
      </w:tblPr>
      <w:tblGrid>
        <w:gridCol w:w="710"/>
        <w:gridCol w:w="1137"/>
        <w:gridCol w:w="6099"/>
        <w:gridCol w:w="6088"/>
      </w:tblGrid>
      <w:tr>
        <w:tblPrEx>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747" w:hRule="atLeast"/>
        </w:trPr>
        <w:tc>
          <w:tcPr>
            <w:tcW w:w="710" w:type="dxa"/>
            <w:vMerge w:val="restart"/>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vMerge w:val="restart"/>
            <w:tcBorders>
              <w:top w:val="nil"/>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tc>
        <w:tc>
          <w:tcPr>
            <w:tcW w:w="6099"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7.预案附件。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（1）应急预案附件内容至少包括通讯录、应急物资装备清单、规范化格式文本、关键的路线、标识和图纸、有关协议或备忘录等信息；</w:t>
            </w:r>
          </w:p>
          <w:p>
            <w:pPr>
              <w:jc w:val="left"/>
              <w:rPr>
                <w:rFonts w:ascii="楷体_GB2312" w:hAnsi="宋体" w:eastAsia="楷体_GB2312" w:cs="宋体"/>
                <w:kern w:val="0"/>
                <w:szCs w:val="21"/>
              </w:rPr>
            </w:pPr>
            <w:r>
              <w:rPr>
                <w:rFonts w:hint="eastAsia" w:ascii="楷体_GB2312" w:hAnsi="宋体" w:eastAsia="楷体_GB2312" w:cs="宋体"/>
                <w:kern w:val="0"/>
                <w:szCs w:val="21"/>
              </w:rPr>
              <w:t>（2）附件信息发生变化时，应当及时更新，确保准确有效。</w:t>
            </w:r>
          </w:p>
        </w:tc>
        <w:tc>
          <w:tcPr>
            <w:tcW w:w="6088"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1.《生产安全事故应急预案管理办法》（国家安全生产监督管理总局令第88号，根据应急管理部令第2号修正）第十六条。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 29639-2013)9附件。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3.《生产经营单位生产安全事故应急预案评审指南》（安监总厅应急〔2009〕73号） 附件5。</w:t>
            </w:r>
          </w:p>
        </w:tc>
      </w:tr>
      <w:tr>
        <w:tblPrEx>
          <w:tblCellMar>
            <w:top w:w="0" w:type="dxa"/>
            <w:left w:w="108" w:type="dxa"/>
            <w:bottom w:w="0" w:type="dxa"/>
            <w:right w:w="108" w:type="dxa"/>
          </w:tblCellMar>
        </w:tblPrEx>
        <w:trPr>
          <w:trHeight w:val="1866"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8.预案衔接。各类应急预案之间应当相互衔接，并与相关人民政府及其部门、应急救援队伍和涉及的其他单位的应急预案相衔接。</w:t>
            </w:r>
          </w:p>
        </w:tc>
        <w:tc>
          <w:tcPr>
            <w:tcW w:w="6088"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1.《国务院关于进一步加强企业安全生产工作的通知》17.完善企业应急预案。</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2.《中华人民共和国安全生产法》第七十八条。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3.《生产安全事故应急预案管理办法》（国家安全生产监督管理总局令第88号，根据应急管理部令第2号修正）第八条、 第十八条。</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4.《中央企业应急管理暂行办法》（国务院国有资产监督管理委员会令</w:t>
            </w:r>
            <w:r>
              <w:rPr>
                <w:rFonts w:ascii="楷体_GB2312" w:hAnsi="宋体" w:eastAsia="楷体_GB2312" w:cs="宋体"/>
                <w:kern w:val="0"/>
                <w:szCs w:val="21"/>
              </w:rPr>
              <w:t>31号）</w:t>
            </w:r>
            <w:r>
              <w:rPr>
                <w:rFonts w:hint="eastAsia" w:ascii="楷体_GB2312" w:hAnsi="宋体" w:eastAsia="楷体_GB2312" w:cs="宋体"/>
                <w:kern w:val="0"/>
                <w:szCs w:val="21"/>
              </w:rPr>
              <w:t>第十四条。</w:t>
            </w:r>
          </w:p>
        </w:tc>
      </w:tr>
      <w:tr>
        <w:tblPrEx>
          <w:tblCellMar>
            <w:top w:w="0" w:type="dxa"/>
            <w:left w:w="108" w:type="dxa"/>
            <w:bottom w:w="0" w:type="dxa"/>
            <w:right w:w="108" w:type="dxa"/>
          </w:tblCellMar>
        </w:tblPrEx>
        <w:trPr>
          <w:trHeight w:val="706"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预案管理</w:t>
            </w: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1.预案评审。对本单位编制的应急预案进行评审，并形成书面评审纪要。</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 第二十一条。</w:t>
            </w:r>
          </w:p>
        </w:tc>
      </w:tr>
      <w:tr>
        <w:tblPrEx>
          <w:tblCellMar>
            <w:top w:w="0" w:type="dxa"/>
            <w:left w:w="108" w:type="dxa"/>
            <w:bottom w:w="0" w:type="dxa"/>
            <w:right w:w="108" w:type="dxa"/>
          </w:tblCellMar>
        </w:tblPrEx>
        <w:trPr>
          <w:trHeight w:val="1177" w:hRule="atLeast"/>
        </w:trPr>
        <w:tc>
          <w:tcPr>
            <w:tcW w:w="710" w:type="dxa"/>
            <w:vMerge w:val="continue"/>
            <w:tcBorders>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2.预案评审人员要求。</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（1）评审人员应当包括有关安全生产及应急管理方面的专家；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（2）评审人员与所评审应急预案的生产经营单位有利害关系的，应当回避。</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 第二十二条。</w:t>
            </w: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3.预案签署、公布与发放。</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（1）应急预案由本单位主要负责人签署；</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（2）向本单位人员公布；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（3）应急预案发放至本单位有关部门、岗位和相关应急救援队伍；</w:t>
            </w:r>
          </w:p>
          <w:p>
            <w:pPr>
              <w:jc w:val="left"/>
              <w:rPr>
                <w:rFonts w:ascii="楷体_GB2312" w:hAnsi="宋体" w:eastAsia="楷体_GB2312" w:cs="宋体"/>
                <w:kern w:val="0"/>
                <w:szCs w:val="21"/>
              </w:rPr>
            </w:pPr>
            <w:r>
              <w:rPr>
                <w:rFonts w:hint="eastAsia" w:ascii="楷体_GB2312" w:hAnsi="宋体" w:eastAsia="楷体_GB2312" w:cs="宋体"/>
                <w:kern w:val="0"/>
                <w:szCs w:val="21"/>
              </w:rPr>
              <w:t>（4）事故风险可能影响周边其他单位、人员的，生产经营单位应当将有关事故风险的性质、影响范围和应急防范措施告知周边的其他单位和人员。</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2.《生产安全事故应急预案管理办法》（国家安全生产监督管理总局令第88号，根据应急管理部令第2号修正） 第二十四条。</w:t>
            </w:r>
            <w:r>
              <w:rPr>
                <w:rFonts w:hint="eastAsia" w:ascii="楷体_GB2312" w:hAnsi="宋体" w:eastAsia="楷体_GB2312" w:cs="宋体"/>
                <w:kern w:val="0"/>
                <w:szCs w:val="21"/>
              </w:rPr>
              <w:br w:type="textWrapping"/>
            </w:r>
          </w:p>
        </w:tc>
      </w:tr>
    </w:tbl>
    <w:p>
      <w:pPr>
        <w:widowControl/>
        <w:jc w:val="left"/>
        <w:rPr>
          <w:rFonts w:ascii="楷体_GB2312" w:hAnsi="宋体" w:eastAsia="楷体_GB2312" w:cs="宋体"/>
          <w:b/>
          <w:kern w:val="0"/>
          <w:szCs w:val="21"/>
        </w:rPr>
      </w:pPr>
      <w:r>
        <w:rPr>
          <w:rFonts w:ascii="仿宋_GB2312" w:hAnsi="宋体" w:eastAsia="仿宋_GB2312"/>
          <w:sz w:val="32"/>
          <w:szCs w:val="32"/>
        </w:rPr>
        <w:br w:type="page"/>
      </w:r>
      <w:r>
        <w:rPr>
          <w:rFonts w:hint="eastAsia" w:ascii="楷体_GB2312" w:hAnsi="宋体" w:eastAsia="楷体_GB2312" w:cs="宋体"/>
          <w:b/>
          <w:kern w:val="0"/>
          <w:szCs w:val="21"/>
        </w:rPr>
        <w:t>要素5：预案管理（续）</w:t>
      </w:r>
    </w:p>
    <w:tbl>
      <w:tblPr>
        <w:tblStyle w:val="11"/>
        <w:tblW w:w="14034" w:type="dxa"/>
        <w:tblInd w:w="-318" w:type="dxa"/>
        <w:tblLayout w:type="fixed"/>
        <w:tblCellMar>
          <w:top w:w="0" w:type="dxa"/>
          <w:left w:w="108" w:type="dxa"/>
          <w:bottom w:w="0" w:type="dxa"/>
          <w:right w:w="108" w:type="dxa"/>
        </w:tblCellMar>
      </w:tblPr>
      <w:tblGrid>
        <w:gridCol w:w="710"/>
        <w:gridCol w:w="1137"/>
        <w:gridCol w:w="6944"/>
        <w:gridCol w:w="5243"/>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133"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vMerge w:val="restart"/>
            <w:tcBorders>
              <w:top w:val="single" w:color="auto" w:sz="4" w:space="0"/>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预案管理</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4.预案备案。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w:t>
            </w:r>
            <w:r>
              <w:rPr>
                <w:rFonts w:ascii="楷体_GB2312" w:hAnsi="宋体" w:eastAsia="楷体_GB2312" w:cs="宋体"/>
                <w:kern w:val="0"/>
                <w:szCs w:val="21"/>
              </w:rPr>
              <w:t>在应急预案公布之日起20个工作日内，按照分级属地原则，向县级以上人民政府应急管理部门和其他负有安全生产监督管理职责的部门进行备案，并依法向社会公布</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（2）应急预案修订后，按照有关应急预案报备程序重新备案。</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1.《危险化学品安全管理条例》第七十条。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2.《生产安全事故应急条例》第七条。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3.《生产安全事故应急预案管理办法》（国家安全生产监督管理总局令第88号，根据应急管理部令第2号修正）第二十六条、第三十七条。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4.《危险化学品生产企业安全生产许可证实施办法》（国家安全监管总局令第41号，根据国家安全监管总局令第89号修正）第二十一条。</w:t>
            </w:r>
          </w:p>
        </w:tc>
      </w:tr>
      <w:tr>
        <w:tblPrEx>
          <w:tblCellMar>
            <w:top w:w="0" w:type="dxa"/>
            <w:left w:w="108" w:type="dxa"/>
            <w:bottom w:w="0" w:type="dxa"/>
            <w:right w:w="108" w:type="dxa"/>
          </w:tblCellMar>
        </w:tblPrEx>
        <w:trPr>
          <w:trHeight w:val="2059" w:hRule="atLeast"/>
        </w:trPr>
        <w:tc>
          <w:tcPr>
            <w:tcW w:w="710" w:type="dxa"/>
            <w:vMerge w:val="continue"/>
            <w:tcBorders>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94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5.预案评估。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（1）应急预案应每三年进行一次评估；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（2）结合本单位部门职能和分工，成立以单位相关负责人为组长，单位相关部门人员参加的应急预案评估组，明确工作职责和任务分工，制定工作方案。评估组成员人数一般为单数;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w:t>
            </w:r>
            <w:r>
              <w:rPr>
                <w:rFonts w:ascii="楷体_GB2312" w:hAnsi="宋体" w:eastAsia="楷体_GB2312" w:cs="宋体"/>
                <w:kern w:val="0"/>
                <w:szCs w:val="21"/>
              </w:rPr>
              <w:t>应急预案评估可以邀请相关专业机构或者有关专家、有实际应急救援工作经验的人员参加，必要时可以委托安全生产技术服务机构实施</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（4）应急预案评估结束后，评估组成员沟通交流各自评估情况，对照有关规定及相关标准，汇总评估中发现的问题，并形成一致、公正客观的评估组意见，在此基础上组织撰写评估报告;</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（5）评估要</w:t>
            </w:r>
            <w:r>
              <w:rPr>
                <w:rFonts w:ascii="楷体_GB2312" w:hAnsi="宋体" w:eastAsia="楷体_GB2312" w:cs="宋体"/>
                <w:kern w:val="0"/>
                <w:szCs w:val="21"/>
              </w:rPr>
              <w:t>对应急预案是否需要修订作出结论</w:t>
            </w:r>
            <w:r>
              <w:rPr>
                <w:rFonts w:hint="eastAsia" w:ascii="楷体_GB2312" w:hAnsi="宋体" w:eastAsia="楷体_GB2312" w:cs="宋体"/>
                <w:kern w:val="0"/>
                <w:szCs w:val="21"/>
              </w:rPr>
              <w:t>。</w:t>
            </w:r>
          </w:p>
        </w:tc>
        <w:tc>
          <w:tcPr>
            <w:tcW w:w="524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1.《生产安全事故应急预案管理办法》（国家安全生产监督管理总局令第88号，根据应急管理部令第2号修正）第三十五条。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2.《生产经营单位生产安全事故应急预案评估指南》（</w:t>
            </w:r>
            <w:r>
              <w:rPr>
                <w:rFonts w:ascii="楷体_GB2312" w:hAnsi="宋体" w:eastAsia="楷体_GB2312" w:cs="宋体"/>
                <w:kern w:val="0"/>
                <w:szCs w:val="21"/>
              </w:rPr>
              <w:t>AQ</w:t>
            </w:r>
            <w:r>
              <w:rPr>
                <w:rFonts w:hint="eastAsia" w:ascii="楷体_GB2312" w:hAnsi="宋体" w:eastAsia="楷体_GB2312" w:cs="宋体"/>
                <w:kern w:val="0"/>
                <w:szCs w:val="21"/>
              </w:rPr>
              <w:t>/T 9011</w:t>
            </w:r>
            <w:r>
              <w:rPr>
                <w:rFonts w:ascii="楷体_GB2312" w:hAnsi="宋体" w:eastAsia="楷体_GB2312" w:cs="宋体"/>
                <w:kern w:val="0"/>
                <w:szCs w:val="21"/>
              </w:rPr>
              <w:t>—</w:t>
            </w:r>
            <w:r>
              <w:rPr>
                <w:rFonts w:hint="eastAsia" w:ascii="楷体_GB2312" w:hAnsi="宋体" w:eastAsia="楷体_GB2312" w:cs="宋体"/>
                <w:kern w:val="0"/>
                <w:szCs w:val="21"/>
              </w:rPr>
              <w:t>2019）5.1成立评估组、5.4评估报告编写。</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2265"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94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6.预案修订。有下列情形之一的，生产安全事故应急救援预案制定单位应当及时修订相关预案</w:t>
            </w:r>
            <w:r>
              <w:rPr>
                <w:rFonts w:ascii="楷体_GB2312" w:hAnsi="宋体" w:eastAsia="楷体_GB2312" w:cs="宋体"/>
                <w:kern w:val="0"/>
                <w:szCs w:val="21"/>
              </w:rPr>
              <w:t>并归档</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（1）依据的法律、法规、规章、标准及上位预案中的有关规定发生重大变化的；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（2）应急指挥机构及其职责发生调整的；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（3）安全生产面临的事故风险发生重大变化的；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（4）重要应急资源发生重大变化的；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（5）在应急演练和事故应急救援中发现需要修订预案的重大问题的；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（6）编制单位认为应当修订的其他情况。</w:t>
            </w:r>
          </w:p>
        </w:tc>
        <w:tc>
          <w:tcPr>
            <w:tcW w:w="524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1.《生产安全事故应急条例》第六条。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2.《生产安全事故应急预案管理办法》（国家安全生产监督管理总局令第88号，根据应急管理部令第2号修正）第三十六条。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3.《生产安全事故应急演练基本规范》（</w:t>
            </w:r>
            <w:r>
              <w:rPr>
                <w:rFonts w:ascii="楷体_GB2312" w:hAnsi="宋体" w:eastAsia="楷体_GB2312" w:cs="宋体"/>
                <w:kern w:val="0"/>
                <w:szCs w:val="21"/>
              </w:rPr>
              <w:t>AQ/T 9007-2019）</w:t>
            </w:r>
            <w:r>
              <w:rPr>
                <w:rFonts w:hint="eastAsia" w:ascii="楷体_GB2312" w:hAnsi="宋体" w:eastAsia="楷体_GB2312" w:cs="宋体"/>
                <w:kern w:val="0"/>
                <w:szCs w:val="21"/>
              </w:rPr>
              <w:t>9.1应急预案修订完善。</w:t>
            </w:r>
          </w:p>
        </w:tc>
      </w:tr>
      <w:tr>
        <w:tblPrEx>
          <w:tblCellMar>
            <w:top w:w="0" w:type="dxa"/>
            <w:left w:w="108" w:type="dxa"/>
            <w:bottom w:w="0" w:type="dxa"/>
            <w:right w:w="108" w:type="dxa"/>
          </w:tblCellMar>
        </w:tblPrEx>
        <w:trPr>
          <w:trHeight w:val="84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FF0000"/>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color w:val="FF0000"/>
                <w:kern w:val="0"/>
                <w:szCs w:val="21"/>
              </w:rPr>
            </w:pPr>
            <w:r>
              <w:rPr>
                <w:rFonts w:hint="eastAsia" w:ascii="楷体_GB2312" w:hAnsi="宋体" w:eastAsia="楷体_GB2312" w:cs="宋体"/>
                <w:kern w:val="0"/>
                <w:szCs w:val="21"/>
              </w:rPr>
              <w:t>能力提升</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在全面调查和客观分析生产经营单位应急队伍、装备、物资等应急资源状况基础上，开展应急能力评估，并依据评估结果，完善应急保障措施，提高应急保障能力。</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w:t>
            </w:r>
            <w:r>
              <w:rPr>
                <w:rFonts w:ascii="楷体_GB2312" w:hAnsi="宋体" w:eastAsia="楷体_GB2312" w:cs="宋体"/>
                <w:kern w:val="0"/>
                <w:szCs w:val="21"/>
              </w:rPr>
              <w:t>生产经营单位生产安全事故应急预案编制导则</w:t>
            </w:r>
            <w:r>
              <w:rPr>
                <w:rFonts w:hint="eastAsia" w:ascii="楷体_GB2312" w:hAnsi="宋体" w:eastAsia="楷体_GB2312" w:cs="宋体"/>
                <w:kern w:val="0"/>
                <w:szCs w:val="21"/>
              </w:rPr>
              <w:t>》（</w:t>
            </w:r>
            <w:r>
              <w:rPr>
                <w:rFonts w:ascii="楷体_GB2312" w:hAnsi="宋体" w:eastAsia="楷体_GB2312" w:cs="宋体"/>
                <w:kern w:val="0"/>
                <w:szCs w:val="21"/>
              </w:rPr>
              <w:t>GB/T29639</w:t>
            </w:r>
            <w:r>
              <w:rPr>
                <w:rFonts w:hint="eastAsia" w:ascii="楷体_GB2312" w:hAnsi="宋体" w:eastAsia="楷体_GB2312" w:cs="宋体"/>
                <w:kern w:val="0"/>
                <w:szCs w:val="21"/>
              </w:rPr>
              <w:t>-</w:t>
            </w:r>
            <w:r>
              <w:rPr>
                <w:rFonts w:ascii="楷体_GB2312" w:hAnsi="宋体" w:eastAsia="楷体_GB2312" w:cs="宋体"/>
                <w:kern w:val="0"/>
                <w:szCs w:val="21"/>
              </w:rPr>
              <w:t>2013</w:t>
            </w:r>
            <w:r>
              <w:rPr>
                <w:rFonts w:hint="eastAsia" w:ascii="楷体_GB2312" w:hAnsi="宋体" w:eastAsia="楷体_GB2312" w:cs="宋体"/>
                <w:kern w:val="0"/>
                <w:szCs w:val="21"/>
              </w:rPr>
              <w:t>）4.5应急能力评估。</w:t>
            </w:r>
          </w:p>
        </w:tc>
      </w:tr>
    </w:tbl>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要素6：监测与预警</w:t>
      </w:r>
    </w:p>
    <w:tbl>
      <w:tblPr>
        <w:tblStyle w:val="11"/>
        <w:tblW w:w="14034" w:type="dxa"/>
        <w:tblInd w:w="-318" w:type="dxa"/>
        <w:tblLayout w:type="fixed"/>
        <w:tblCellMar>
          <w:top w:w="0" w:type="dxa"/>
          <w:left w:w="108" w:type="dxa"/>
          <w:bottom w:w="0" w:type="dxa"/>
          <w:right w:w="108" w:type="dxa"/>
        </w:tblCellMar>
      </w:tblPr>
      <w:tblGrid>
        <w:gridCol w:w="710"/>
        <w:gridCol w:w="1137"/>
        <w:gridCol w:w="4533"/>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14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监测</w:t>
            </w:r>
          </w:p>
        </w:tc>
        <w:tc>
          <w:tcPr>
            <w:tcW w:w="4533" w:type="dxa"/>
            <w:tcBorders>
              <w:top w:val="nil"/>
              <w:left w:val="nil"/>
              <w:bottom w:val="single" w:color="auto" w:sz="4" w:space="0"/>
              <w:right w:val="single" w:color="auto" w:sz="4" w:space="0"/>
            </w:tcBorders>
            <w:shd w:val="clear" w:color="auto" w:fill="auto"/>
            <w:noWrap/>
            <w:vAlign w:val="center"/>
          </w:tcPr>
          <w:p>
            <w:pPr>
              <w:widowControl/>
              <w:numPr>
                <w:ilvl w:val="0"/>
                <w:numId w:val="1"/>
              </w:numPr>
              <w:jc w:val="left"/>
              <w:rPr>
                <w:rFonts w:ascii="楷体_GB2312" w:hAnsi="宋体" w:eastAsia="楷体_GB2312" w:cs="宋体"/>
                <w:kern w:val="0"/>
                <w:szCs w:val="21"/>
              </w:rPr>
            </w:pPr>
            <w:r>
              <w:rPr>
                <w:rFonts w:hint="eastAsia" w:ascii="楷体_GB2312" w:hAnsi="宋体" w:eastAsia="楷体_GB2312" w:cs="宋体"/>
                <w:kern w:val="0"/>
                <w:szCs w:val="21"/>
              </w:rPr>
              <w:t>结合生产工艺和事故风险，建立健全基于过程控制系统、安全仪表系统、灾害报警系统的监测预报系统，科学设置监测预报参数，并结合系统数据异常情况进行事故风险评估和预报；</w:t>
            </w:r>
          </w:p>
          <w:p>
            <w:pPr>
              <w:widowControl/>
              <w:numPr>
                <w:ilvl w:val="0"/>
                <w:numId w:val="1"/>
              </w:numPr>
              <w:jc w:val="left"/>
              <w:rPr>
                <w:rFonts w:ascii="楷体_GB2312" w:hAnsi="宋体" w:eastAsia="楷体_GB2312" w:cs="宋体"/>
                <w:kern w:val="0"/>
                <w:szCs w:val="21"/>
              </w:rPr>
            </w:pPr>
            <w:r>
              <w:rPr>
                <w:rFonts w:hint="eastAsia" w:ascii="楷体_GB2312" w:hAnsi="宋体" w:eastAsia="楷体_GB2312" w:cs="宋体"/>
                <w:kern w:val="0"/>
                <w:szCs w:val="21"/>
              </w:rPr>
              <w:t>重大危险源和关键部位的监测监控信息要接入危险化学品安全生产风险监测预警系统，警示信息及时处置，并保证系统正常运行。</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1.《突发事件应急预案管理办法》（国务院办公厅印发）第九条。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2.《危险化学品重大危险源监督管理暂行规定》（国家安全生产监督管理总局令第40号，根据国家安全监管总局令第79号修正）第十三条。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3.《国家安全监管总局关于加强科学施救提高生产安全事故灾难应急救援水平的指导意见》（安监总应急〔2012〕147号）（十三）加强重大危险源监测监控及预警预报工作。</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4.《国务院安委会办公室 应急管理部关于加快推进危险化学品安全生产风险监测预警系统建设的指导意见》（安委办〔2019〕11号）三、建设内容（一）危险化学品企业、化工园区建设完善监测监控系统。</w:t>
            </w:r>
          </w:p>
        </w:tc>
      </w:tr>
      <w:tr>
        <w:tblPrEx>
          <w:tblCellMar>
            <w:top w:w="0" w:type="dxa"/>
            <w:left w:w="108" w:type="dxa"/>
            <w:bottom w:w="0" w:type="dxa"/>
            <w:right w:w="108" w:type="dxa"/>
          </w:tblCellMar>
        </w:tblPrEx>
        <w:trPr>
          <w:trHeight w:val="1981"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预警分级</w:t>
            </w:r>
          </w:p>
        </w:tc>
        <w:tc>
          <w:tcPr>
            <w:tcW w:w="453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一般情况下，按照事故发生的紧急程度、发展势态和可能造成的危害程度分为一级、二级、三级和四级，分别用红色、橙色、黄色和蓝色标示，一级为最高级别。</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在事故情形简单、严重程度较小等情况下，可以根据实际情况，灵活调整分为两个或三个等级。</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1.《中华人民共和国突发事件应对法》第四十二条。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2.《国家突发公共事件总体应急预案》3.1.1预警级别和发布。</w:t>
            </w:r>
          </w:p>
        </w:tc>
      </w:tr>
      <w:tr>
        <w:tblPrEx>
          <w:tblCellMar>
            <w:top w:w="0" w:type="dxa"/>
            <w:left w:w="108" w:type="dxa"/>
            <w:bottom w:w="0" w:type="dxa"/>
            <w:right w:w="108" w:type="dxa"/>
          </w:tblCellMar>
        </w:tblPrEx>
        <w:trPr>
          <w:trHeight w:val="213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预警措施</w:t>
            </w:r>
          </w:p>
        </w:tc>
        <w:tc>
          <w:tcPr>
            <w:tcW w:w="453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1.按照不同预警等级，分别采取一项或多项应急措施；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2.一旦重大危险源发生事故，要立即向事故区域发出预警，迅速疏散危险区域有关人员，调动应急力量快速处置，做到提前预警、提前防范、提前处置。</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1.《中华人民共和国突发事件应对法》第四十四条、第四十五条。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2.《国家安全监管总局关于加强科学施救提高生产安全事故灾难应急救援水平的指导意见》（安监总应急〔2012〕147号）（十三）加强重大危险源监测监控及预警预报工作。</w:t>
            </w:r>
          </w:p>
        </w:tc>
      </w:tr>
    </w:tbl>
    <w:p>
      <w:pPr>
        <w:spacing w:line="560" w:lineRule="exact"/>
        <w:jc w:val="left"/>
        <w:rPr>
          <w:rFonts w:ascii="仿宋_GB2312" w:hAnsi="宋体" w:eastAsia="仿宋_GB2312"/>
          <w:sz w:val="32"/>
          <w:szCs w:val="32"/>
        </w:rPr>
      </w:pPr>
    </w:p>
    <w:p>
      <w:pPr>
        <w:widowControl/>
        <w:jc w:val="left"/>
        <w:rPr>
          <w:rFonts w:ascii="仿宋_GB2312" w:hAnsi="宋体" w:eastAsia="仿宋_GB2312"/>
          <w:sz w:val="32"/>
          <w:szCs w:val="32"/>
        </w:rPr>
      </w:pPr>
    </w:p>
    <w:p>
      <w:pPr>
        <w:spacing w:line="560" w:lineRule="exact"/>
        <w:jc w:val="center"/>
        <w:rPr>
          <w:rFonts w:ascii="仿宋_GB2312" w:hAnsi="宋体" w:eastAsia="仿宋_GB2312"/>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要素7：教育培训与演练</w:t>
      </w:r>
    </w:p>
    <w:tbl>
      <w:tblPr>
        <w:tblStyle w:val="11"/>
        <w:tblW w:w="14034" w:type="dxa"/>
        <w:tblInd w:w="-318" w:type="dxa"/>
        <w:tblLayout w:type="fixed"/>
        <w:tblCellMar>
          <w:top w:w="0" w:type="dxa"/>
          <w:left w:w="108" w:type="dxa"/>
          <w:bottom w:w="0" w:type="dxa"/>
          <w:right w:w="108" w:type="dxa"/>
        </w:tblCellMar>
      </w:tblPr>
      <w:tblGrid>
        <w:gridCol w:w="710"/>
        <w:gridCol w:w="1134"/>
        <w:gridCol w:w="4885"/>
        <w:gridCol w:w="7305"/>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3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286"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应急教育培训</w:t>
            </w:r>
          </w:p>
        </w:tc>
        <w:tc>
          <w:tcPr>
            <w:tcW w:w="48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1.企业应制定应急教育培训计划与目标，对从业人员进行应急教育和培训，保证从业人员具备必要的应急知识，掌握风险防范技能和事故应急措施。</w:t>
            </w:r>
          </w:p>
        </w:tc>
        <w:tc>
          <w:tcPr>
            <w:tcW w:w="73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1.《中华人民共和国安全生产法》第二十五条。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2.《生产安全事故应急条例》第十五条。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3.《生产安全事故应急预案管理办法》（国家安全生产监督管理总局令第88号，根据应急管理部令第2号修正）第三十一条。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4.《国家安全监管总局关于加强科学施救提高生产安全事故灾难应急救援水平的指导意见》（安监总应急〔2012〕147号）（十五）加强高危行业企业相关人员的培训教育。</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5.《安全生产应急管理“十三五”规划》（安监总应急〔2017〕107号）三、主要任务（六）强化应急管理培训宣教。</w:t>
            </w:r>
          </w:p>
        </w:tc>
      </w:tr>
      <w:tr>
        <w:tblPrEx>
          <w:tblCellMar>
            <w:top w:w="0" w:type="dxa"/>
            <w:left w:w="108" w:type="dxa"/>
            <w:bottom w:w="0" w:type="dxa"/>
            <w:right w:w="108" w:type="dxa"/>
          </w:tblCellMar>
        </w:tblPrEx>
        <w:trPr>
          <w:trHeight w:val="2376"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Cs w:val="21"/>
              </w:rPr>
            </w:pP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2教育培训内容。</w:t>
            </w:r>
          </w:p>
          <w:p>
            <w:pPr>
              <w:widowControl/>
              <w:shd w:val="clear" w:color="auto" w:fill="FFFFFF"/>
              <w:jc w:val="left"/>
              <w:rPr>
                <w:rFonts w:ascii="楷体_GB2312" w:hAnsi="宋体" w:eastAsia="楷体_GB2312" w:cs="宋体"/>
                <w:kern w:val="0"/>
                <w:szCs w:val="21"/>
              </w:rPr>
            </w:pPr>
            <w:r>
              <w:rPr>
                <w:rFonts w:hint="eastAsia" w:ascii="楷体_GB2312" w:hAnsi="宋体" w:eastAsia="楷体_GB2312" w:cs="宋体"/>
                <w:kern w:val="0"/>
                <w:szCs w:val="21"/>
              </w:rPr>
              <w:t>（1）生产经营单位应当组织开展本单位的风险评估、应急预案、应急知识、自救互救和避险逃生技能的培训活动，使有关人员了解应急预案内容，熟悉应急职责、应急处置程序和措施；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（2）危险化学品基础知识，必要的应急知识、风险防范技能和事故应急措施；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（3）危险化学品安全生产风险监测预警系统应用。</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国务院关于推进安全生产领域改革发展的意见》（二十一）强化企业预防措施。</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2.《生产安全事故应急条例》第三十条。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3.《生产安全事故应急预案管理办法》（国家安全生产监督管理总局令第88号，根据应急管理部令第2号修正）第三十一条。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4.《危险化学品应急救援管理人员培训及考核要求》（AQ/T3043-2013） 4培训要求、5培训内容。</w:t>
            </w:r>
          </w:p>
        </w:tc>
      </w:tr>
      <w:tr>
        <w:tblPrEx>
          <w:tblCellMar>
            <w:top w:w="0" w:type="dxa"/>
            <w:left w:w="108" w:type="dxa"/>
            <w:bottom w:w="0" w:type="dxa"/>
            <w:right w:w="108" w:type="dxa"/>
          </w:tblCellMar>
        </w:tblPrEx>
        <w:trPr>
          <w:trHeight w:val="1856"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Cs w:val="21"/>
              </w:rPr>
            </w:pP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3.培训考核与建档。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（1）对参加培训的人员进行评估考核，包括基础知识考核、实际应用能力考核和再培训考核；</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（2）应急培训的时间、地点、内容、师资、参加人员和考核结果等情况应当如实记入本单位的安全生产教育和培训档案。</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2.《危险化学品应急救援管理人员培训及考核要求》（AQ/T3043-2013）6 考核标准。</w:t>
            </w:r>
          </w:p>
        </w:tc>
      </w:tr>
    </w:tbl>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要素7：教育培训与演练（续）</w:t>
      </w:r>
    </w:p>
    <w:tbl>
      <w:tblPr>
        <w:tblStyle w:val="11"/>
        <w:tblW w:w="14034" w:type="dxa"/>
        <w:tblInd w:w="-318" w:type="dxa"/>
        <w:tblLayout w:type="fixed"/>
        <w:tblCellMar>
          <w:top w:w="0" w:type="dxa"/>
          <w:left w:w="108" w:type="dxa"/>
          <w:bottom w:w="0" w:type="dxa"/>
          <w:right w:w="108" w:type="dxa"/>
        </w:tblCellMar>
      </w:tblPr>
      <w:tblGrid>
        <w:gridCol w:w="710"/>
        <w:gridCol w:w="1134"/>
        <w:gridCol w:w="4903"/>
        <w:gridCol w:w="7287"/>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应急演练</w:t>
            </w: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4.应急演练。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（1）制定本单位的应急预案演练计划，至少每半年组织一次生产安全事故应急预案演练；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（2）将演练情况报送所在地县级以上人民政府负有安全生产监督管理职责的部门；</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（3）开展多种形式的演练。按照演练内容分为综合演练和单项演练，按照演练形式分为现场演练和桌面演练，不同类型的演练可相互组合；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（4）基于危险化学品安全生产风险监测预警系统和应急指挥“一张图”，开展信息化条件下的应急演练。</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2.《生产安全事故应急预案管理办法》（国家安全生产监督管理总局令第88号，根据应急管理部令第2号修正）第三十三条。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3.《生产安全事故应急演练基本规范》（AQ/T 9007-2019）4.2  应急演练分类。</w:t>
            </w:r>
          </w:p>
        </w:tc>
      </w:tr>
      <w:tr>
        <w:tblPrEx>
          <w:tblCellMar>
            <w:top w:w="0" w:type="dxa"/>
            <w:left w:w="108" w:type="dxa"/>
            <w:bottom w:w="0" w:type="dxa"/>
            <w:right w:w="108" w:type="dxa"/>
          </w:tblCellMar>
        </w:tblPrEx>
        <w:trPr>
          <w:trHeight w:val="2613"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演练评估</w:t>
            </w: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5.演练评估。</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（1）演练设置评估组，由应急管理方面专家和相关领域专业技术人员或相关方代表组成；</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（2）评估组编写评估方案和评估标准；</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（3）评估人员应经过相关培训；</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（4）演练现场评估工作结束后，评估组针对收集的各种信息资料，依据评估标准和相关文件资料对演练活动全过程进行科学分析和客观评价，并撰写演练评估报告，评估报告应向所有参演人员公示。</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1.《生产安全事故应急演练评估规范》（AQ/T 9009-2015） 4.5评估组、5.5编写评估方案和评估标准、5.6培训评估人员、7.4编制演练评估报告。</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2.《生产安全事故应急演练基本规范》（AQ/T 9007-2019） 8.1评估。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3.《国家安全监管总局关于加强科学施救提高生产安全事故灾难应急救援水平的指导意见》（安监总应急〔2012〕147号）（十二）加强事故救援的总结评估工作。</w:t>
            </w:r>
            <w:r>
              <w:rPr>
                <w:rFonts w:hint="eastAsia" w:ascii="楷体_GB2312" w:hAnsi="宋体" w:eastAsia="楷体_GB2312" w:cs="宋体"/>
                <w:kern w:val="0"/>
                <w:szCs w:val="21"/>
              </w:rPr>
              <w:br w:type="textWrapping"/>
            </w: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6.持续改进。</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（1）应急预案编制部门根据演练评估报告中对应急预案的改进建议，按程序对预案进行修订完善；</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（2）根据演练评估报告中提出的问题和建议，明确整改措施和时限，对应急管理工作进行持续改进。</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1.《生产安全事故应急演练基本规范》（AQ/T 9007-2019） 9.1应急预案修订完善、9.2应急管理工作改进。</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2.《生产安全事故应急演练评估规范》（AQ/T 9009-2015） 7.5整改落实。</w:t>
            </w:r>
          </w:p>
        </w:tc>
      </w:tr>
    </w:tbl>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要素8：值班值守</w:t>
      </w:r>
    </w:p>
    <w:tbl>
      <w:tblPr>
        <w:tblStyle w:val="11"/>
        <w:tblW w:w="14034" w:type="dxa"/>
        <w:tblInd w:w="-318" w:type="dxa"/>
        <w:tblLayout w:type="fixed"/>
        <w:tblCellMar>
          <w:top w:w="0" w:type="dxa"/>
          <w:left w:w="108" w:type="dxa"/>
          <w:bottom w:w="0" w:type="dxa"/>
          <w:right w:w="108" w:type="dxa"/>
        </w:tblCellMar>
      </w:tblPr>
      <w:tblGrid>
        <w:gridCol w:w="710"/>
        <w:gridCol w:w="1134"/>
        <w:gridCol w:w="6663"/>
        <w:gridCol w:w="5527"/>
      </w:tblGrid>
      <w:tr>
        <w:tblPrEx>
          <w:tblCellMar>
            <w:top w:w="0" w:type="dxa"/>
            <w:left w:w="108" w:type="dxa"/>
            <w:bottom w:w="0" w:type="dxa"/>
            <w:right w:w="108" w:type="dxa"/>
          </w:tblCellMar>
        </w:tblPrEx>
        <w:trPr>
          <w:trHeight w:val="39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66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5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958"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应急值班</w:t>
            </w:r>
          </w:p>
        </w:tc>
        <w:tc>
          <w:tcPr>
            <w:tcW w:w="666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1.建立应急值班制度，配备应急值班人员，明确24小时应急值守电话。</w:t>
            </w:r>
          </w:p>
        </w:tc>
        <w:tc>
          <w:tcPr>
            <w:tcW w:w="552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2.《生产经营单位生产安全事故应急预案编制导则》（ GB/T 29639-2013）6.4.2信息报告。</w:t>
            </w:r>
          </w:p>
        </w:tc>
      </w:tr>
      <w:tr>
        <w:tblPrEx>
          <w:tblCellMar>
            <w:top w:w="0" w:type="dxa"/>
            <w:left w:w="108" w:type="dxa"/>
            <w:bottom w:w="0" w:type="dxa"/>
            <w:right w:w="108" w:type="dxa"/>
          </w:tblCellMar>
        </w:tblPrEx>
        <w:trPr>
          <w:trHeight w:val="1049"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2.规模较大、危险性较高的易燃易爆物品、危险化学品等危险物品的生产、经营、储存单位应当成立应急处置技术组，实行24小时应急值班。</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《生产安全事故应急条例》第十四条。</w:t>
            </w:r>
          </w:p>
        </w:tc>
      </w:tr>
      <w:tr>
        <w:tblPrEx>
          <w:tblCellMar>
            <w:top w:w="0" w:type="dxa"/>
            <w:left w:w="108" w:type="dxa"/>
            <w:bottom w:w="0" w:type="dxa"/>
            <w:right w:w="108" w:type="dxa"/>
          </w:tblCellMar>
        </w:tblPrEx>
        <w:trPr>
          <w:trHeight w:val="398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事故信息接报</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1.明确事故信息接收、通报程序和责任人；</w:t>
            </w:r>
          </w:p>
          <w:p>
            <w:pPr>
              <w:widowControl/>
              <w:spacing w:line="240" w:lineRule="exact"/>
              <w:jc w:val="left"/>
              <w:rPr>
                <w:rFonts w:ascii="楷体_GB2312" w:hAnsi="宋体" w:eastAsia="楷体_GB2312" w:cs="宋体"/>
                <w:szCs w:val="21"/>
              </w:rPr>
            </w:pPr>
            <w:r>
              <w:rPr>
                <w:rFonts w:hint="eastAsia" w:ascii="楷体_GB2312" w:hAnsi="宋体" w:eastAsia="楷体_GB2312" w:cs="宋体"/>
                <w:kern w:val="0"/>
                <w:szCs w:val="21"/>
              </w:rPr>
              <w:t>2.</w:t>
            </w:r>
            <w:r>
              <w:rPr>
                <w:rFonts w:ascii="楷体_GB2312" w:hAnsi="宋体" w:eastAsia="楷体_GB2312" w:cs="宋体"/>
                <w:szCs w:val="21"/>
              </w:rPr>
              <w:t>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eastAsia" w:ascii="楷体_GB2312" w:hAnsi="宋体" w:eastAsia="楷体_GB2312" w:cs="宋体"/>
                <w:szCs w:val="21"/>
              </w:rPr>
              <w:t>；</w:t>
            </w:r>
          </w:p>
          <w:p>
            <w:pPr>
              <w:widowControl/>
              <w:spacing w:line="240" w:lineRule="exact"/>
              <w:jc w:val="left"/>
              <w:rPr>
                <w:rFonts w:ascii="楷体_GB2312" w:hAnsi="宋体" w:eastAsia="楷体_GB2312" w:cs="宋体"/>
                <w:kern w:val="0"/>
                <w:szCs w:val="21"/>
              </w:rPr>
            </w:pPr>
            <w:r>
              <w:rPr>
                <w:rFonts w:ascii="楷体_GB2312" w:hAnsi="宋体" w:eastAsia="楷体_GB2312" w:cs="宋体"/>
                <w:kern w:val="0"/>
                <w:szCs w:val="21"/>
              </w:rPr>
              <w:t>情况紧急时，事故现场有关人员可以直接向事故发生地县级以上人民政府安全生产监督管理部门和负有安全生产监督管理职责的有关部门报告</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3.报告事故应当包括下列内容：</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（1）事故发生单位概况；</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（2）事故发生的时间、地点以及事故现场情况；</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（3）事故的简要经过；</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（4）事故已经造成或者可能造成的伤亡人数（包括下落不明的人数）和初步估计的直接经济损失；</w:t>
            </w:r>
          </w:p>
          <w:p>
            <w:pPr>
              <w:widowControl/>
              <w:spacing w:line="240" w:lineRule="exact"/>
              <w:jc w:val="left"/>
              <w:rPr>
                <w:rFonts w:ascii="楷体_GB2312" w:eastAsia="楷体_GB2312"/>
                <w:szCs w:val="21"/>
              </w:rPr>
            </w:pPr>
            <w:r>
              <w:rPr>
                <w:rFonts w:hint="eastAsia" w:ascii="楷体_GB2312" w:hAnsi="宋体" w:eastAsia="楷体_GB2312" w:cs="宋体"/>
                <w:kern w:val="0"/>
                <w:szCs w:val="21"/>
              </w:rPr>
              <w:t>（5）已经采取的措施。</w:t>
            </w:r>
          </w:p>
          <w:p>
            <w:pPr>
              <w:widowControl/>
              <w:spacing w:line="240" w:lineRule="exact"/>
              <w:jc w:val="left"/>
              <w:rPr>
                <w:rFonts w:ascii="楷体_GB2312" w:hAnsi="宋体" w:eastAsia="楷体_GB2312" w:cs="宋体"/>
                <w:kern w:val="0"/>
                <w:szCs w:val="21"/>
              </w:rPr>
            </w:pPr>
            <w:r>
              <w:rPr>
                <w:rFonts w:hint="eastAsia" w:ascii="楷体_GB2312" w:eastAsia="楷体_GB2312"/>
                <w:szCs w:val="21"/>
              </w:rPr>
              <w:t>4.事故报告应当及时、准确、完整，任何单位和个人对事故不得迟报、漏报、谎报或者瞒报。</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1.《中华人民共和国安全生产法》第八十条。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w:t>
            </w:r>
            <w:r>
              <w:rPr>
                <w:rFonts w:ascii="楷体_GB2312" w:hAnsi="宋体" w:eastAsia="楷体_GB2312" w:cs="宋体"/>
                <w:kern w:val="0"/>
                <w:szCs w:val="21"/>
              </w:rPr>
              <w:t>《生产安全事故报告和调查处理条例》</w:t>
            </w:r>
            <w:r>
              <w:rPr>
                <w:rFonts w:hint="eastAsia" w:ascii="楷体_GB2312" w:hAnsi="宋体" w:eastAsia="楷体_GB2312" w:cs="宋体"/>
                <w:kern w:val="0"/>
                <w:szCs w:val="21"/>
              </w:rPr>
              <w:t>第四条、第九条、第十二条。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3.《生产经营单位生产安全事故应急预案编制导则》（GB/T 29639-2013） 6.4.2信息报告。</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95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对外通报</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明确事故发生后向本单位以外的有关部门或单位通报事故信息的方法、程序和责任人。</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 》（GB/T 29639-2013 ）第6.4.2信息报告。</w:t>
            </w:r>
          </w:p>
        </w:tc>
      </w:tr>
    </w:tbl>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要素9：信息管理</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39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654"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nil"/>
              <w:left w:val="nil"/>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应急救援信息</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1.有关生产工艺信息。</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1.《危险化学品重大危险源监督管理暂行规定》（国家安全生产监督管理总局令第40号，根据国家安全监管总局令第79号修正）第十三条。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2.《生产经营单位生产安全事故应急预案编制导则》（GB/T29639-2013）8.3（b）现场应急处置措施。</w:t>
            </w:r>
          </w:p>
        </w:tc>
      </w:tr>
      <w:tr>
        <w:tblPrEx>
          <w:tblCellMar>
            <w:top w:w="0" w:type="dxa"/>
            <w:left w:w="108" w:type="dxa"/>
            <w:bottom w:w="0" w:type="dxa"/>
            <w:right w:w="108" w:type="dxa"/>
          </w:tblCellMar>
        </w:tblPrEx>
        <w:trPr>
          <w:trHeight w:val="1845"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2.本单位危险化学品安全技术说明书。</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1.《危险化学品重大危险源监督管理暂行规定》（国家安全生产监督管理总局令第40号，根据国家安全监管总局令第79号修正）第十三条。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2.《化学品安全技术说明书 内容和项目顺序》（GB/T16483-2008）3.5提供物质综合性信息。</w:t>
            </w:r>
          </w:p>
        </w:tc>
      </w:tr>
      <w:tr>
        <w:tblPrEx>
          <w:tblCellMar>
            <w:top w:w="0" w:type="dxa"/>
            <w:left w:w="108" w:type="dxa"/>
            <w:bottom w:w="0" w:type="dxa"/>
            <w:right w:w="108" w:type="dxa"/>
          </w:tblCellMar>
        </w:tblPrEx>
        <w:trPr>
          <w:trHeight w:val="1468"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noWrap/>
            <w:vAlign w:val="center"/>
          </w:tcPr>
          <w:p>
            <w:pPr>
              <w:rPr>
                <w:rFonts w:ascii="楷体_GB2312" w:hAnsi="宋体" w:eastAsia="楷体_GB2312" w:cs="宋体"/>
                <w:kern w:val="0"/>
                <w:szCs w:val="21"/>
              </w:rPr>
            </w:pPr>
            <w:r>
              <w:rPr>
                <w:rFonts w:hint="eastAsia" w:ascii="楷体_GB2312" w:hAnsi="宋体" w:eastAsia="楷体_GB2312" w:cs="宋体"/>
                <w:kern w:val="0"/>
                <w:szCs w:val="21"/>
              </w:rPr>
              <w:t>3.应急预案、专业应急队伍、兼职应急队伍、应急专家及其他信息。</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《生产经营单位生产安全事故应急预案编制导则》（GB/T29639-2013）6.8.2应急队伍保障、6.8.4其他保障。</w:t>
            </w:r>
          </w:p>
        </w:tc>
      </w:tr>
      <w:tr>
        <w:tblPrEx>
          <w:tblCellMar>
            <w:top w:w="0" w:type="dxa"/>
            <w:left w:w="108" w:type="dxa"/>
            <w:bottom w:w="0" w:type="dxa"/>
            <w:right w:w="108" w:type="dxa"/>
          </w:tblCellMar>
        </w:tblPrEx>
        <w:trPr>
          <w:trHeight w:val="163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信息保障</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1.建立有线与无线相结合的应急通信保障系统，确保事故应对工作的通信畅通；</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2.坚持信息畅通、协同应对的原则，保证与救援各方实时传输语音、视频、文字、数据等信息，与外部救援力量顺畅协同应对。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1.《中华人民共和国突发事件应对法》第三十三条。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2.《危险化学品事故应急救援指挥导则》（AQ/T 3052-2015）4 基本原则。</w:t>
            </w:r>
          </w:p>
          <w:p>
            <w:pPr>
              <w:widowControl/>
              <w:jc w:val="left"/>
              <w:rPr>
                <w:rFonts w:ascii="楷体_GB2312" w:hAnsi="宋体" w:eastAsia="楷体_GB2312" w:cs="宋体"/>
                <w:kern w:val="0"/>
                <w:szCs w:val="21"/>
              </w:rPr>
            </w:pPr>
          </w:p>
        </w:tc>
      </w:tr>
    </w:tbl>
    <w:p>
      <w:pPr>
        <w:spacing w:line="560" w:lineRule="exact"/>
        <w:jc w:val="left"/>
        <w:rPr>
          <w:rFonts w:ascii="仿宋_GB2312" w:hAnsi="宋体" w:eastAsia="仿宋_GB2312"/>
          <w:sz w:val="32"/>
          <w:szCs w:val="32"/>
        </w:rPr>
      </w:pP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要素10：装备设施</w:t>
      </w:r>
    </w:p>
    <w:tbl>
      <w:tblPr>
        <w:tblStyle w:val="11"/>
        <w:tblW w:w="14034" w:type="dxa"/>
        <w:tblInd w:w="-318" w:type="dxa"/>
        <w:tblLayout w:type="fixed"/>
        <w:tblCellMar>
          <w:top w:w="0" w:type="dxa"/>
          <w:left w:w="108" w:type="dxa"/>
          <w:bottom w:w="0" w:type="dxa"/>
          <w:right w:w="108" w:type="dxa"/>
        </w:tblCellMar>
      </w:tblPr>
      <w:tblGrid>
        <w:gridCol w:w="710"/>
        <w:gridCol w:w="1137"/>
        <w:gridCol w:w="7084"/>
        <w:gridCol w:w="5103"/>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174"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应急设施</w:t>
            </w: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消防设施。根据《建筑设计防火规范》《石油化工企业设计防火标准》《化工企业安全卫生设计规范》等标准，配备移动、固定消防设施，并依据企业的规模、火灾危险性、固定消防设施的设置情况，以及邻近单位消防协作条件等因素确定消防执勤站级别和车辆、装备。</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1.《石油化工企业设计防火标准》（GB50160-2008，2018年版）8.2消防站。</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2.《化工企业安全卫生设计规范》（HG20571-2014 ）7.4消防站。</w:t>
            </w:r>
          </w:p>
        </w:tc>
      </w:tr>
      <w:tr>
        <w:tblPrEx>
          <w:tblCellMar>
            <w:top w:w="0" w:type="dxa"/>
            <w:left w:w="108" w:type="dxa"/>
            <w:bottom w:w="0" w:type="dxa"/>
            <w:right w:w="108" w:type="dxa"/>
          </w:tblCellMar>
        </w:tblPrEx>
        <w:trPr>
          <w:trHeight w:val="1269"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7" w:type="dxa"/>
            <w:vMerge w:val="continue"/>
            <w:tcBorders>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2.气防设施。</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（1）大量生产、储存和使用有毒有害气体并危害人身安全的化工企业应设置气体防护站；</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（2）气体防护站应按《化工企业安全卫生设计规范》规定进行建设,足额配备气体防护装备和人员；</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（3）生产、储存和使用氯气、氨气、光气、硫化氢等吸入性有毒有害气体的企业，构成重大危险源的，应当设立气体防护站（组）。</w:t>
            </w:r>
          </w:p>
        </w:tc>
        <w:tc>
          <w:tcPr>
            <w:tcW w:w="510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1.《危险化学品生产企业安全生产许可证实施办法》（国家安全监管总局令第41号，根据国家安全监管总局令第89号修正）第二十一条。</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2.《化工企业安全卫生设计规范》（HG20571-2014）7.3气体防护站。</w:t>
            </w:r>
          </w:p>
        </w:tc>
      </w:tr>
      <w:tr>
        <w:tblPrEx>
          <w:tblCellMar>
            <w:top w:w="0" w:type="dxa"/>
            <w:left w:w="108" w:type="dxa"/>
            <w:bottom w:w="0" w:type="dxa"/>
            <w:right w:w="108" w:type="dxa"/>
          </w:tblCellMar>
        </w:tblPrEx>
        <w:trPr>
          <w:trHeight w:val="721"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3.防尘防毒、防化学灼伤设施。在液体毒性危害严重的场所、具有化学灼伤的作业场所，应设置洗眼器、淋洗器等安全防护措施，洗眼器、淋洗器的服务半径不应大于15米。</w:t>
            </w:r>
          </w:p>
        </w:tc>
        <w:tc>
          <w:tcPr>
            <w:tcW w:w="5103" w:type="dxa"/>
            <w:tcBorders>
              <w:top w:val="nil"/>
              <w:left w:val="nil"/>
              <w:bottom w:val="single" w:color="auto" w:sz="4" w:space="0"/>
              <w:right w:val="single" w:color="auto" w:sz="4" w:space="0"/>
            </w:tcBorders>
            <w:shd w:val="clear" w:color="auto" w:fill="auto"/>
            <w:vAlign w:val="center"/>
          </w:tcPr>
          <w:p>
            <w:pPr>
              <w:widowControl/>
              <w:rPr>
                <w:rFonts w:ascii="楷体_GB2312" w:hAnsi="宋体" w:eastAsia="楷体_GB2312" w:cs="宋体"/>
                <w:kern w:val="0"/>
                <w:szCs w:val="21"/>
              </w:rPr>
            </w:pPr>
            <w:r>
              <w:rPr>
                <w:rFonts w:hint="eastAsia" w:ascii="楷体_GB2312" w:hAnsi="宋体" w:eastAsia="楷体_GB2312" w:cs="宋体"/>
                <w:kern w:val="0"/>
                <w:szCs w:val="21"/>
              </w:rPr>
              <w:t>《化工企业安全卫生设计规范》（HG20571-2014）5.1.6、5.6.5。</w:t>
            </w:r>
          </w:p>
        </w:tc>
      </w:tr>
      <w:tr>
        <w:tblPrEx>
          <w:tblCellMar>
            <w:top w:w="0" w:type="dxa"/>
            <w:left w:w="108" w:type="dxa"/>
            <w:bottom w:w="0" w:type="dxa"/>
            <w:right w:w="108" w:type="dxa"/>
          </w:tblCellMar>
        </w:tblPrEx>
        <w:trPr>
          <w:trHeight w:val="965"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4.紧急切断设施。对重大危险源中的毒性气体、剧毒液体和易燃气体等重点设施，设置紧急切断装置；毒性气体的设施，设置泄漏物紧急处置装置。</w:t>
            </w:r>
          </w:p>
        </w:tc>
        <w:tc>
          <w:tcPr>
            <w:tcW w:w="510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《危险化学品重大危险源监督管理暂行规定》（国家安全生产监督管理总局令第40号，根据国家安全监管总局令第79号修正）第十三条。</w:t>
            </w:r>
          </w:p>
        </w:tc>
      </w:tr>
      <w:tr>
        <w:tblPrEx>
          <w:tblCellMar>
            <w:top w:w="0" w:type="dxa"/>
            <w:left w:w="108" w:type="dxa"/>
            <w:bottom w:w="0" w:type="dxa"/>
            <w:right w:w="108" w:type="dxa"/>
          </w:tblCellMar>
        </w:tblPrEx>
        <w:trPr>
          <w:trHeight w:val="408"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5.应急事故池。有满足事故状态下临时贮存废水、防止漫流的应急事故池。</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《化工建设项目环境保护设计规范》（GB50483-2009）6.6事故应急措施。</w:t>
            </w:r>
          </w:p>
        </w:tc>
      </w:tr>
      <w:tr>
        <w:tblPrEx>
          <w:tblCellMar>
            <w:top w:w="0" w:type="dxa"/>
            <w:left w:w="108" w:type="dxa"/>
            <w:bottom w:w="0" w:type="dxa"/>
            <w:right w:w="108" w:type="dxa"/>
          </w:tblCellMar>
        </w:tblPrEx>
        <w:trPr>
          <w:trHeight w:val="139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应急物资装备</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1.根据本单位危险化学品的种类、数量和危险化学品事故可能造成的危害进行配置，按照《危险化学品单位应急救援物资配备要求》（GB 30077）配备相应应急物资；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2.生产、储存和使用氯气、氨气、光气、硫化氢等吸入性有毒有害气体的企业，还应当配备至少2套以上全封闭防化服。</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2.《危险化学品生产企业安全生产许可证实施办法》（国家安全监管总局令第41号，根据国家安全监管总局令第89号修正）第二十一条。</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3.《危险化学品单位应急救援物资配备要求》（GB 30077-2013）。</w:t>
            </w:r>
          </w:p>
        </w:tc>
      </w:tr>
      <w:tr>
        <w:tblPrEx>
          <w:tblCellMar>
            <w:top w:w="0" w:type="dxa"/>
            <w:left w:w="108" w:type="dxa"/>
            <w:bottom w:w="0" w:type="dxa"/>
            <w:right w:w="108" w:type="dxa"/>
          </w:tblCellMar>
        </w:tblPrEx>
        <w:trPr>
          <w:trHeight w:val="66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维护管理</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建立应急设施和物资装备的管理制度和台账清单，按要求经常性维护、保养，确保完好。</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2.《生产安全事故应急条例》第十三条。</w:t>
            </w:r>
          </w:p>
        </w:tc>
      </w:tr>
    </w:tbl>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要素11：救援队伍建设</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cantSplit/>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cantSplit/>
          <w:trHeight w:val="212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队伍设置</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1.危险化学品生产、经营、储存企业应当建立应急救援队伍；</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2.危险化学品生产、经营、储存企业中小型企业或者微型企业等规模较小的，可以不建立应急救援队伍，但应当指定兼职的应急救援人员，并且可以与邻近的应急救援队伍签订应急救援协议；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3.工业园区、开发区等产业聚集区域内的危险化学品生产、经营、储存企业，可以联合建立应急救援队伍。</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2.《消防法》第三十九条。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3.《生产安全事故应急条例》第十条。</w:t>
            </w:r>
          </w:p>
          <w:p>
            <w:pPr>
              <w:jc w:val="left"/>
              <w:rPr>
                <w:rFonts w:ascii="楷体_GB2312" w:hAnsi="宋体" w:eastAsia="楷体_GB2312" w:cs="宋体"/>
                <w:kern w:val="0"/>
                <w:szCs w:val="21"/>
              </w:rPr>
            </w:pPr>
          </w:p>
        </w:tc>
      </w:tr>
      <w:tr>
        <w:tblPrEx>
          <w:tblCellMar>
            <w:top w:w="0" w:type="dxa"/>
            <w:left w:w="108" w:type="dxa"/>
            <w:bottom w:w="0" w:type="dxa"/>
            <w:right w:w="108" w:type="dxa"/>
          </w:tblCellMar>
        </w:tblPrEx>
        <w:trPr>
          <w:cantSplit/>
          <w:trHeight w:val="144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能力要求</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应急救援人员应当具备必要的专业知识、技能、身体素质和心理素质。</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2.《危险化学品应急救援管理人员培训及考核要求》（AQ/T3043-2013 ）6 考核标准。</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3.《国家安全监管总局关于加强矿山危险化学品应急救援骨干队伍建设的指导意见》（安监总应急〔2009〕126号）三、建设任务（二）队伍素质。</w:t>
            </w:r>
          </w:p>
        </w:tc>
      </w:tr>
      <w:tr>
        <w:tblPrEx>
          <w:tblCellMar>
            <w:top w:w="0" w:type="dxa"/>
            <w:left w:w="108" w:type="dxa"/>
            <w:bottom w:w="0" w:type="dxa"/>
            <w:right w:w="108" w:type="dxa"/>
          </w:tblCellMar>
        </w:tblPrEx>
        <w:trPr>
          <w:cantSplit/>
          <w:trHeight w:val="1565"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队伍管理</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制定应急救援人员教育培训计划，使其熟练掌握本企业应急处置程序和自救互救常识，避免盲目指挥、盲目施救。按照《危险化学品应急救援管理人员培训及考核要求》（AQ/T3043-2013），对危险化学品应急救援队伍负责人进行教育培训。</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1.《危险化学品应急救援管理人员培训及考核要求》（AQ/T3043-2013） 5培训内容。</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2.《国家安全监管总局关于加强科学施救提高生产安全事故灾难应急救援水平的指导意见》（安监总应急〔2012〕147号）（十五）加强高危行业企业相关人员的培训教育。</w:t>
            </w:r>
          </w:p>
        </w:tc>
      </w:tr>
      <w:tr>
        <w:tblPrEx>
          <w:tblCellMar>
            <w:top w:w="0" w:type="dxa"/>
            <w:left w:w="108" w:type="dxa"/>
            <w:bottom w:w="0" w:type="dxa"/>
            <w:right w:w="108" w:type="dxa"/>
          </w:tblCellMar>
        </w:tblPrEx>
        <w:trPr>
          <w:cantSplit/>
          <w:trHeight w:val="1115"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2.根据企业可能发生的生产安全事故的特点和危害，配备必要的应急救援装备和物资，定期组织训练，并经常维护、保养，保证正常运转。</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《生产安全事故应急条例》第十一条、第十三条。</w:t>
            </w:r>
          </w:p>
        </w:tc>
      </w:tr>
    </w:tbl>
    <w:p>
      <w:pPr>
        <w:spacing w:line="560" w:lineRule="exact"/>
        <w:jc w:val="left"/>
        <w:rPr>
          <w:rFonts w:ascii="仿宋_GB2312" w:hAnsi="宋体" w:eastAsia="仿宋_GB2312"/>
          <w:sz w:val="32"/>
          <w:szCs w:val="32"/>
        </w:rPr>
      </w:pPr>
      <w:r>
        <w:rPr>
          <w:rFonts w:hint="eastAsia" w:ascii="楷体_GB2312" w:hAnsi="宋体" w:eastAsia="楷体_GB2312" w:cs="宋体"/>
          <w:b/>
          <w:kern w:val="0"/>
          <w:szCs w:val="21"/>
        </w:rPr>
        <w:t>要素11：救援队伍建设（续）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cantSplit/>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cantSplit/>
          <w:trHeight w:val="2548"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nil"/>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队伍管理</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3.应加强战训管理（含演练、技战术研究），开展形式多样的应急演练，掌握处置要点，优化处置方案。</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1.《生产安全事故应急演练评估规范》（AQ/T 9009-2015）附录A实战演练评估。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2.《国家安全监管总局关于加强科学施救提高生产安全事故灾难应急救援水平的指导意见》（安监总应急〔2012〕147号）（十四）加强应急预案与演练工作。</w:t>
            </w:r>
          </w:p>
        </w:tc>
      </w:tr>
      <w:tr>
        <w:tblPrEx>
          <w:tblCellMar>
            <w:top w:w="0" w:type="dxa"/>
            <w:left w:w="108" w:type="dxa"/>
            <w:bottom w:w="0" w:type="dxa"/>
            <w:right w:w="108" w:type="dxa"/>
          </w:tblCellMar>
        </w:tblPrEx>
        <w:trPr>
          <w:cantSplit/>
          <w:trHeight w:val="1165"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 建立应急值班制度，配备应急值班人员。</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《生产安全事故应急条例》第十四条。</w:t>
            </w:r>
          </w:p>
        </w:tc>
      </w:tr>
      <w:tr>
        <w:tblPrEx>
          <w:tblCellMar>
            <w:top w:w="0" w:type="dxa"/>
            <w:left w:w="108" w:type="dxa"/>
            <w:bottom w:w="0" w:type="dxa"/>
            <w:right w:w="108" w:type="dxa"/>
          </w:tblCellMar>
        </w:tblPrEx>
        <w:trPr>
          <w:cantSplit/>
          <w:trHeight w:val="296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对外公布与调动</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1.生产经营单位应当及时将本单位应急救援队伍建立情况按照国家有关规定报送县级以上人民政府负有安全生产监督管理职责的部门，并依法向社会公布；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2.应急救援队伍接到有关人民政府及其部门的救援命令或者签有应急救援协议的生产经营单位的救援请求后，应当立即参加生产安全事故应急救援。</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《生产安全事故应急条例》第十二条、第十九条。</w:t>
            </w:r>
          </w:p>
        </w:tc>
      </w:tr>
    </w:tbl>
    <w:p>
      <w:pPr>
        <w:widowControl/>
        <w:jc w:val="left"/>
        <w:rPr>
          <w:rFonts w:ascii="华文中宋" w:hAnsi="华文中宋" w:eastAsia="华文中宋" w:cs="宋体"/>
          <w:kern w:val="0"/>
          <w:sz w:val="30"/>
          <w:szCs w:val="30"/>
        </w:rPr>
      </w:pPr>
      <w:r>
        <w:rPr>
          <w:rFonts w:ascii="华文中宋" w:hAnsi="华文中宋" w:eastAsia="华文中宋" w:cs="宋体"/>
          <w:kern w:val="0"/>
          <w:sz w:val="30"/>
          <w:szCs w:val="30"/>
        </w:rPr>
        <w:br w:type="page"/>
      </w: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9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应急指挥与救援组织</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1.明确应急组织形式及组成单位或人员及其职责。应急组织机构根据事故类型和应急工作需要，可设置相应的应急工作小组，并明确各小组的工作任务及职责；</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2.救援队伍指挥员应当作为指挥部成员，充分运用应急指挥“一张图”等信息化手段参与制订救援方案等重大决策。</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1.《国务院安委会关于进一步加强生产安全事故应急处置工作的通知》（安委〔2013〕8号）三、进一步规范事故现场应急处置（四）确保安全有效施救。</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2.《生产经营单位生产安全事故应急预案编制导则》（GB/T29639-2013） 6.3应急组织机构及职责、7.2应急指挥机构及职责、8.2应急工作职责。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w:t>
            </w:r>
            <w:r>
              <w:rPr>
                <w:rFonts w:ascii="楷体_GB2312" w:hAnsi="宋体" w:eastAsia="楷体_GB2312" w:cs="宋体"/>
                <w:kern w:val="0"/>
                <w:szCs w:val="21"/>
              </w:rPr>
              <w:t>.</w:t>
            </w:r>
            <w:r>
              <w:rPr>
                <w:rFonts w:hint="eastAsia" w:ascii="楷体_GB2312" w:hAnsi="宋体" w:eastAsia="楷体_GB2312" w:cs="宋体"/>
                <w:kern w:val="0"/>
                <w:szCs w:val="21"/>
              </w:rPr>
              <w:t xml:space="preserve"> 《生产安全事故应急条例》第二十条、二十一条。</w:t>
            </w:r>
          </w:p>
        </w:tc>
      </w:tr>
      <w:tr>
        <w:tblPrEx>
          <w:tblCellMar>
            <w:top w:w="0" w:type="dxa"/>
            <w:left w:w="108" w:type="dxa"/>
            <w:bottom w:w="0" w:type="dxa"/>
            <w:right w:w="108" w:type="dxa"/>
          </w:tblCellMar>
        </w:tblPrEx>
        <w:trPr>
          <w:trHeight w:val="281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应急救援基本原则</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1.坚持救人第一、防止灾害扩大的原则。在保障施救人员安全的前提下，迅速救人抢险；</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2.坚持统一领导、科学决策的原则。现场指挥部负责现场具体处置，重大决策由总指挥部决定；</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3.坚持信息畅通、协同应对的原则。总指挥部、现场指挥部与救援队伍应保证实时互通信息，与外部救援力量协同应对；</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4.坚持保护环境，减少污染的原则；</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5.在救援过程中</w:t>
            </w:r>
            <w:r>
              <w:rPr>
                <w:rFonts w:ascii="楷体_GB2312" w:hAnsi="宋体" w:eastAsia="楷体_GB2312" w:cs="宋体"/>
                <w:kern w:val="0"/>
                <w:szCs w:val="21"/>
              </w:rPr>
              <w:t>，有关单位和人员应</w:t>
            </w:r>
            <w:r>
              <w:rPr>
                <w:rFonts w:hint="eastAsia" w:ascii="楷体_GB2312" w:hAnsi="宋体" w:eastAsia="楷体_GB2312" w:cs="宋体"/>
                <w:kern w:val="0"/>
                <w:szCs w:val="21"/>
              </w:rPr>
              <w:t>考虑</w:t>
            </w:r>
            <w:r>
              <w:rPr>
                <w:rFonts w:ascii="楷体_GB2312" w:hAnsi="宋体" w:eastAsia="楷体_GB2312" w:cs="宋体"/>
                <w:kern w:val="0"/>
                <w:szCs w:val="21"/>
              </w:rPr>
              <w:t>妥善保护事故现场以及相关证据</w:t>
            </w:r>
            <w:r>
              <w:rPr>
                <w:rFonts w:hint="eastAsia" w:ascii="楷体_GB2312" w:hAnsi="宋体" w:eastAsia="楷体_GB2312" w:cs="宋体"/>
                <w:kern w:val="0"/>
                <w:szCs w:val="21"/>
              </w:rPr>
              <w:t>。</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jc w:val="left"/>
              <w:rPr>
                <w:rFonts w:ascii="楷体_GB2312" w:hAnsi="宋体" w:eastAsia="楷体_GB2312" w:cs="宋体"/>
                <w:kern w:val="0"/>
                <w:szCs w:val="21"/>
              </w:rPr>
            </w:pPr>
            <w:r>
              <w:rPr>
                <w:rFonts w:hint="eastAsia" w:ascii="楷体_GB2312" w:hAnsi="宋体" w:eastAsia="楷体_GB2312" w:cs="宋体"/>
                <w:kern w:val="0"/>
                <w:szCs w:val="21"/>
              </w:rPr>
              <w:t>《危险化学品事故应急救援指挥导则》（AQ/T 3052-2015）4 基本原则。</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94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响应分级</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针对事故危害程度、影响范围，对事故应急响应进行分级，明确分级响应的基本原则。</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《生产经营单位生产安全事故应急预案编制导则》（GB/T29639-2013）6.5.1响应分级。</w:t>
            </w:r>
          </w:p>
        </w:tc>
      </w:tr>
      <w:tr>
        <w:tblPrEx>
          <w:tblCellMar>
            <w:top w:w="0" w:type="dxa"/>
            <w:left w:w="108" w:type="dxa"/>
            <w:bottom w:w="0" w:type="dxa"/>
            <w:right w:w="108" w:type="dxa"/>
          </w:tblCellMar>
        </w:tblPrEx>
        <w:trPr>
          <w:trHeight w:val="120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总体响应程序</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根据事故级别和发展态势，明确应急指挥机构启动、应急资源调配、应急救援、扩大应急等响应程序。</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《生产经营单位生产安全事故应急预案编制导则》（GB/T29639-2013）6.5.2响应程序。</w:t>
            </w:r>
          </w:p>
        </w:tc>
      </w:tr>
    </w:tbl>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17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岗位应急程序</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根据可能发生的事故及现场情况，明确事故报警、各项应急措施启动、应急救护人员的引导、事故扩大及同生产经营单位应急预案衔接的程序。</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 8</w:t>
            </w:r>
            <w:r>
              <w:rPr>
                <w:rFonts w:ascii="楷体_GB2312" w:hAnsi="宋体" w:eastAsia="楷体_GB2312" w:cs="宋体"/>
                <w:kern w:val="0"/>
                <w:szCs w:val="21"/>
              </w:rPr>
              <w:t>.</w:t>
            </w:r>
            <w:r>
              <w:rPr>
                <w:rFonts w:hint="eastAsia" w:ascii="楷体_GB2312" w:hAnsi="宋体" w:eastAsia="楷体_GB2312" w:cs="宋体"/>
                <w:kern w:val="0"/>
                <w:szCs w:val="21"/>
              </w:rPr>
              <w:t>3应急处置。</w:t>
            </w:r>
          </w:p>
        </w:tc>
      </w:tr>
      <w:tr>
        <w:tblPrEx>
          <w:tblCellMar>
            <w:top w:w="0" w:type="dxa"/>
            <w:left w:w="108" w:type="dxa"/>
            <w:bottom w:w="0" w:type="dxa"/>
            <w:right w:w="108" w:type="dxa"/>
          </w:tblCellMar>
        </w:tblPrEx>
        <w:trPr>
          <w:trHeight w:val="234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现场应急措施</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针对可能发生的火灾、爆炸、危险化学品泄漏等事故，从警戒隔离、人员救护与防护、遇险人员救护、公众安全防护、装备物资正确选用、工艺操作配合、现场监测、洗消、现场清理等方面制定明确的应急处置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2.遇到突发情况危及救援人员生命安全时，救援队伍指挥员有权作出处置决定，迅速带领救援人员撤出危险区域，并及时报告指挥部。</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1.《生产经营单位生产安全事故应急预案编制导则》（GB/T29639-2013） 8</w:t>
            </w:r>
            <w:r>
              <w:rPr>
                <w:rFonts w:ascii="楷体_GB2312" w:hAnsi="宋体" w:eastAsia="楷体_GB2312" w:cs="宋体"/>
                <w:kern w:val="0"/>
                <w:szCs w:val="21"/>
              </w:rPr>
              <w:t>.</w:t>
            </w:r>
            <w:r>
              <w:rPr>
                <w:rFonts w:hint="eastAsia" w:ascii="楷体_GB2312" w:hAnsi="宋体" w:eastAsia="楷体_GB2312" w:cs="宋体"/>
                <w:kern w:val="0"/>
                <w:szCs w:val="21"/>
              </w:rPr>
              <w:t>3应急处置。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2.《危险化学品事故应急救援指挥导则》（AQ/T 3052-2015）5.2警戒隔离、5.3人员防护与救护、5.4现场处置、5.5现场监测、5.6洗消、5.7现场清理。</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204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重点监控危险化学品应急处置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涉及重点监管危险化学品的企业要针对本企业安全生产特点和产品特性，从完善安全监控措施、加强个体防护等方面，提升危险化学品应急处置能力。</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autoSpaceDE w:val="0"/>
              <w:autoSpaceDN w:val="0"/>
              <w:adjustRightInd w:val="0"/>
              <w:rPr>
                <w:rFonts w:ascii="楷体_GB2312" w:hAnsi="宋体" w:eastAsia="楷体_GB2312" w:cs="宋体"/>
                <w:kern w:val="0"/>
                <w:szCs w:val="21"/>
              </w:rPr>
            </w:pPr>
            <w:r>
              <w:rPr>
                <w:rFonts w:hint="eastAsia" w:ascii="楷体_GB2312" w:hAnsi="宋体" w:eastAsia="楷体_GB2312" w:cs="宋体"/>
                <w:kern w:val="0"/>
                <w:szCs w:val="21"/>
              </w:rPr>
              <w:t>1.《国家安全监管总局办公厅关于印发首批重点监管的危险化学品安全措施和应急处置原则的通知》（安监总厅管三〔</w:t>
            </w:r>
            <w:r>
              <w:rPr>
                <w:rFonts w:ascii="楷体_GB2312" w:hAnsi="宋体" w:eastAsia="楷体_GB2312" w:cs="宋体"/>
                <w:kern w:val="0"/>
                <w:szCs w:val="21"/>
              </w:rPr>
              <w:t>2011</w:t>
            </w:r>
            <w:r>
              <w:rPr>
                <w:rFonts w:hint="eastAsia" w:ascii="楷体_GB2312" w:hAnsi="宋体" w:eastAsia="楷体_GB2312" w:cs="宋体"/>
                <w:kern w:val="0"/>
                <w:szCs w:val="21"/>
              </w:rPr>
              <w:t>〕</w:t>
            </w:r>
            <w:r>
              <w:rPr>
                <w:rFonts w:ascii="楷体_GB2312" w:hAnsi="宋体" w:eastAsia="楷体_GB2312" w:cs="宋体"/>
                <w:kern w:val="0"/>
                <w:szCs w:val="21"/>
              </w:rPr>
              <w:t xml:space="preserve">142 </w:t>
            </w:r>
            <w:r>
              <w:rPr>
                <w:rFonts w:hint="eastAsia" w:ascii="楷体_GB2312" w:hAnsi="宋体" w:eastAsia="楷体_GB2312" w:cs="宋体"/>
                <w:kern w:val="0"/>
                <w:szCs w:val="21"/>
              </w:rPr>
              <w:t>号）有关要求及附件《首批重点监管的危险化学品安全措施和应急处置原则》。</w:t>
            </w:r>
          </w:p>
          <w:p>
            <w:pPr>
              <w:widowControl/>
              <w:rPr>
                <w:rFonts w:ascii="楷体_GB2312" w:hAnsi="宋体" w:eastAsia="楷体_GB2312" w:cs="宋体"/>
                <w:kern w:val="0"/>
                <w:szCs w:val="21"/>
              </w:rPr>
            </w:pPr>
            <w:r>
              <w:rPr>
                <w:rFonts w:hint="eastAsia" w:ascii="楷体_GB2312" w:hAnsi="宋体" w:eastAsia="楷体_GB2312" w:cs="宋体"/>
                <w:kern w:val="0"/>
                <w:szCs w:val="21"/>
              </w:rPr>
              <w:t>2.《国家安全监管总局关于公布第二批重点监管危险化学品名录的通知》（安监总管三〔</w:t>
            </w:r>
            <w:r>
              <w:rPr>
                <w:rFonts w:ascii="楷体_GB2312" w:hAnsi="宋体" w:eastAsia="楷体_GB2312" w:cs="宋体"/>
                <w:kern w:val="0"/>
                <w:szCs w:val="21"/>
              </w:rPr>
              <w:t>2013</w:t>
            </w:r>
            <w:r>
              <w:rPr>
                <w:rFonts w:hint="eastAsia" w:ascii="楷体_GB2312" w:hAnsi="宋体" w:eastAsia="楷体_GB2312" w:cs="宋体"/>
                <w:kern w:val="0"/>
                <w:szCs w:val="21"/>
              </w:rPr>
              <w:t>〕</w:t>
            </w:r>
            <w:r>
              <w:rPr>
                <w:rFonts w:ascii="楷体_GB2312" w:hAnsi="宋体" w:eastAsia="楷体_GB2312" w:cs="宋体"/>
                <w:kern w:val="0"/>
                <w:szCs w:val="21"/>
              </w:rPr>
              <w:t xml:space="preserve">12 </w:t>
            </w:r>
            <w:r>
              <w:rPr>
                <w:rFonts w:hint="eastAsia" w:ascii="楷体_GB2312" w:hAnsi="宋体" w:eastAsia="楷体_GB2312" w:cs="宋体"/>
                <w:kern w:val="0"/>
                <w:szCs w:val="21"/>
              </w:rPr>
              <w:t>号）附件2《第二批重点监管的危险化学品安全措施和应急处置原则》。</w:t>
            </w:r>
          </w:p>
        </w:tc>
      </w:tr>
      <w:tr>
        <w:tblPrEx>
          <w:tblCellMar>
            <w:top w:w="0" w:type="dxa"/>
            <w:left w:w="108" w:type="dxa"/>
            <w:bottom w:w="0" w:type="dxa"/>
            <w:right w:w="108" w:type="dxa"/>
          </w:tblCellMar>
        </w:tblPrEx>
        <w:trPr>
          <w:trHeight w:val="16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配合政府应急处置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突发事件发生地的其他单位应当服从人民政府发布的决定、命令，配合人民政府采取的应急处置措施，做好本单位的应急救援工作，并积极组织人员参加所在地的应急救援和处置工作。</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《中华人民共和国突发事件应对法》第五十六条。</w:t>
            </w:r>
          </w:p>
        </w:tc>
      </w:tr>
    </w:tbl>
    <w:p>
      <w:pPr>
        <w:widowControl/>
        <w:jc w:val="left"/>
        <w:rPr>
          <w:rFonts w:ascii="华文中宋" w:hAnsi="华文中宋" w:eastAsia="华文中宋" w:cs="宋体"/>
          <w:kern w:val="0"/>
          <w:sz w:val="30"/>
          <w:szCs w:val="30"/>
        </w:rPr>
      </w:pPr>
    </w:p>
    <w:p>
      <w:pPr>
        <w:widowControl/>
        <w:jc w:val="left"/>
        <w:rPr>
          <w:rFonts w:ascii="华文中宋" w:hAnsi="华文中宋" w:eastAsia="华文中宋" w:cs="宋体"/>
          <w:kern w:val="0"/>
          <w:sz w:val="30"/>
          <w:szCs w:val="30"/>
        </w:rPr>
      </w:pP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要素13：应急准备恢复</w:t>
      </w:r>
    </w:p>
    <w:tbl>
      <w:tblPr>
        <w:tblStyle w:val="11"/>
        <w:tblW w:w="14034" w:type="dxa"/>
        <w:tblInd w:w="-318" w:type="dxa"/>
        <w:tblLayout w:type="fixed"/>
        <w:tblCellMar>
          <w:top w:w="0" w:type="dxa"/>
          <w:left w:w="108" w:type="dxa"/>
          <w:bottom w:w="0" w:type="dxa"/>
          <w:right w:w="108" w:type="dxa"/>
        </w:tblCellMar>
      </w:tblPr>
      <w:tblGrid>
        <w:gridCol w:w="710"/>
        <w:gridCol w:w="1134"/>
        <w:gridCol w:w="4109"/>
        <w:gridCol w:w="8081"/>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80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317" w:hRule="atLeast"/>
        </w:trPr>
        <w:tc>
          <w:tcPr>
            <w:tcW w:w="710" w:type="dxa"/>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p>
            <w:pPr>
              <w:jc w:val="center"/>
              <w:rPr>
                <w:rFonts w:ascii="楷体_GB2312" w:hAnsi="宋体" w:eastAsia="楷体_GB2312" w:cs="宋体"/>
                <w:kern w:val="0"/>
                <w:szCs w:val="21"/>
              </w:rPr>
            </w:pPr>
          </w:p>
        </w:tc>
        <w:tc>
          <w:tcPr>
            <w:tcW w:w="1134"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事后风险评估</w:t>
            </w:r>
          </w:p>
        </w:tc>
        <w:tc>
          <w:tcPr>
            <w:tcW w:w="4109" w:type="dxa"/>
            <w:tcBorders>
              <w:top w:val="nil"/>
              <w:left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1.排查、消除现场事故隐患；</w:t>
            </w:r>
          </w:p>
          <w:p>
            <w:pPr>
              <w:jc w:val="left"/>
              <w:rPr>
                <w:rFonts w:ascii="楷体_GB2312" w:hAnsi="宋体" w:eastAsia="楷体_GB2312" w:cs="宋体"/>
                <w:kern w:val="0"/>
                <w:szCs w:val="21"/>
              </w:rPr>
            </w:pPr>
            <w:r>
              <w:rPr>
                <w:rFonts w:hint="eastAsia" w:ascii="楷体_GB2312" w:hAnsi="宋体" w:eastAsia="楷体_GB2312" w:cs="宋体"/>
                <w:kern w:val="0"/>
                <w:szCs w:val="21"/>
              </w:rPr>
              <w:t>2.排查、消除现场次生、衍生事故风险。</w:t>
            </w:r>
          </w:p>
        </w:tc>
        <w:tc>
          <w:tcPr>
            <w:tcW w:w="8081" w:type="dxa"/>
            <w:tcBorders>
              <w:top w:val="nil"/>
              <w:left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国务院关于推进安全生产领域改革发展的意见》（二十二）建立隐患治理监督机制。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2.《国务院安委会关于进一步加强生产安全事故应急处置工作的通知》（安委〔2013〕8号）四、加强事故应急处置相关工作（四）稳妥做好善后处置工作。</w:t>
            </w:r>
          </w:p>
          <w:p>
            <w:pPr>
              <w:jc w:val="left"/>
              <w:rPr>
                <w:rFonts w:ascii="楷体_GB2312" w:hAnsi="宋体" w:eastAsia="楷体_GB2312" w:cs="宋体"/>
                <w:kern w:val="0"/>
                <w:szCs w:val="21"/>
              </w:rPr>
            </w:pPr>
            <w:r>
              <w:rPr>
                <w:rFonts w:hint="eastAsia" w:ascii="楷体_GB2312" w:hAnsi="宋体" w:eastAsia="楷体_GB2312" w:cs="宋体"/>
                <w:kern w:val="0"/>
                <w:szCs w:val="21"/>
              </w:rPr>
              <w:t>3.《中华人民共和国突发事件应对法》第五十八条。</w:t>
            </w:r>
          </w:p>
        </w:tc>
      </w:tr>
      <w:tr>
        <w:tblPrEx>
          <w:tblCellMar>
            <w:top w:w="0" w:type="dxa"/>
            <w:left w:w="108" w:type="dxa"/>
            <w:bottom w:w="0" w:type="dxa"/>
            <w:right w:w="108" w:type="dxa"/>
          </w:tblCellMar>
        </w:tblPrEx>
        <w:trPr>
          <w:trHeight w:val="218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应急准备恢复</w:t>
            </w:r>
          </w:p>
        </w:tc>
        <w:tc>
          <w:tcPr>
            <w:tcW w:w="41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维护、补充、更新装备、物资，休整队伍，恢复到正常应急准备状态。</w:t>
            </w:r>
          </w:p>
        </w:tc>
        <w:tc>
          <w:tcPr>
            <w:tcW w:w="80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1.《国务院安委会关于进一步加强生产安全事故应急处置工作的通知》（安委〔2013〕8号）四、加强事故应急处置相关工作（四）稳妥做好善后处置工作。</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2.《生产安全事故应急条例》第十三条。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3.《国家安全监管总局关于加强科学施救提高生产安全事故灾难应急救援水平的指导意见》（安监总应急〔2012〕147号）（七）完善安全生产应急救援装备和物资体系。</w:t>
            </w:r>
            <w:r>
              <w:rPr>
                <w:rFonts w:hint="eastAsia" w:ascii="楷体_GB2312" w:hAnsi="宋体" w:eastAsia="楷体_GB2312" w:cs="宋体"/>
                <w:kern w:val="0"/>
                <w:szCs w:val="21"/>
              </w:rPr>
              <w:br w:type="textWrapping"/>
            </w:r>
          </w:p>
        </w:tc>
      </w:tr>
      <w:tr>
        <w:tblPrEx>
          <w:tblCellMar>
            <w:top w:w="0" w:type="dxa"/>
            <w:left w:w="108" w:type="dxa"/>
            <w:bottom w:w="0" w:type="dxa"/>
            <w:right w:w="108" w:type="dxa"/>
          </w:tblCellMar>
        </w:tblPrEx>
        <w:trPr>
          <w:trHeight w:val="214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应急处置评估</w:t>
            </w:r>
          </w:p>
        </w:tc>
        <w:tc>
          <w:tcPr>
            <w:tcW w:w="41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生产安全事故调查组应当对应急救援工作进行评估，并在事故调查报告中作出评估结论。在事故救援结束后应当开展应急处置工作总结。</w:t>
            </w:r>
          </w:p>
        </w:tc>
        <w:tc>
          <w:tcPr>
            <w:tcW w:w="80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1.《生产安全事故应急条例》第二十七条。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2.《生产安全事故应急处置评估暂行办法》（</w:t>
            </w:r>
            <w:r>
              <w:rPr>
                <w:rFonts w:hint="eastAsia" w:ascii="楷体_GB2312" w:eastAsia="楷体_GB2312"/>
                <w:color w:val="333333"/>
                <w:sz w:val="22"/>
                <w:shd w:val="clear" w:color="auto" w:fill="FFFFFF"/>
              </w:rPr>
              <w:t>安监总厅应急〔2014〕95号</w:t>
            </w:r>
            <w:r>
              <w:rPr>
                <w:rFonts w:hint="eastAsia" w:ascii="楷体_GB2312" w:hAnsi="宋体" w:eastAsia="楷体_GB2312" w:cs="宋体"/>
                <w:kern w:val="0"/>
                <w:szCs w:val="21"/>
              </w:rPr>
              <w:t>）第七条、第八条、第十二条。</w:t>
            </w:r>
          </w:p>
          <w:p>
            <w:pPr>
              <w:widowControl/>
              <w:jc w:val="left"/>
              <w:rPr>
                <w:rFonts w:ascii="楷体_GB2312" w:hAnsi="宋体" w:eastAsia="楷体_GB2312" w:cs="宋体"/>
                <w:kern w:val="0"/>
                <w:szCs w:val="21"/>
              </w:rPr>
            </w:pPr>
          </w:p>
        </w:tc>
      </w:tr>
    </w:tbl>
    <w:p>
      <w:pPr>
        <w:widowControl/>
        <w:jc w:val="left"/>
        <w:rPr>
          <w:rFonts w:ascii="华文中宋" w:hAnsi="华文中宋" w:eastAsia="华文中宋" w:cs="宋体"/>
          <w:kern w:val="0"/>
          <w:sz w:val="30"/>
          <w:szCs w:val="30"/>
        </w:rPr>
      </w:pP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要素14：经费保障</w:t>
      </w:r>
    </w:p>
    <w:tbl>
      <w:tblPr>
        <w:tblStyle w:val="11"/>
        <w:tblW w:w="14034" w:type="dxa"/>
        <w:tblInd w:w="-318" w:type="dxa"/>
        <w:tblLayout w:type="fixed"/>
        <w:tblCellMar>
          <w:top w:w="0" w:type="dxa"/>
          <w:left w:w="108" w:type="dxa"/>
          <w:bottom w:w="0" w:type="dxa"/>
          <w:right w:w="108" w:type="dxa"/>
        </w:tblCellMar>
      </w:tblPr>
      <w:tblGrid>
        <w:gridCol w:w="710"/>
        <w:gridCol w:w="1134"/>
        <w:gridCol w:w="4112"/>
        <w:gridCol w:w="8078"/>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1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8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32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应急资金预算</w:t>
            </w:r>
          </w:p>
        </w:tc>
        <w:tc>
          <w:tcPr>
            <w:tcW w:w="4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1.企业年度预算中应包含应急教育、培训、演练，应急装备与设施检测、维护、更新，应急物资、器材采购等有关应急资金预算；</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2.企业应急资金使用计划应包括应急准备项目资金详细计划；</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3.企业应制定应急资金使用的进度安排。</w:t>
            </w:r>
          </w:p>
        </w:tc>
        <w:tc>
          <w:tcPr>
            <w:tcW w:w="807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1.《国务院安委会办公室关于贯彻落实国务院&lt;通知&gt;精神进一步加强安全生产应急救援体系建设的实施意见》（安委办〔2010〕25号）（十七）研究制定并落实安全生产应急工作政策措施。</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w:t>
            </w:r>
            <w:r>
              <w:rPr>
                <w:rFonts w:ascii="楷体_GB2312" w:hAnsi="宋体" w:eastAsia="楷体_GB2312" w:cs="宋体"/>
                <w:kern w:val="0"/>
                <w:szCs w:val="21"/>
              </w:rPr>
              <w:t>《企业安全生产费用提取和使用管理办法》 （</w:t>
            </w:r>
            <w:r>
              <w:rPr>
                <w:rFonts w:hint="eastAsia" w:ascii="楷体_GB2312" w:hAnsi="宋体" w:eastAsia="楷体_GB2312" w:cs="宋体"/>
                <w:kern w:val="0"/>
                <w:szCs w:val="21"/>
              </w:rPr>
              <w:t>财企〔2012〕16号）第二十条、第三十二条。</w:t>
            </w:r>
          </w:p>
        </w:tc>
      </w:tr>
      <w:tr>
        <w:tblPrEx>
          <w:tblCellMar>
            <w:top w:w="0" w:type="dxa"/>
            <w:left w:w="108" w:type="dxa"/>
            <w:bottom w:w="0" w:type="dxa"/>
            <w:right w:w="108" w:type="dxa"/>
          </w:tblCellMar>
        </w:tblPrEx>
        <w:trPr>
          <w:trHeight w:val="2468" w:hRule="atLeast"/>
        </w:trPr>
        <w:tc>
          <w:tcPr>
            <w:tcW w:w="71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救援费用承担</w:t>
            </w:r>
          </w:p>
        </w:tc>
        <w:tc>
          <w:tcPr>
            <w:tcW w:w="4112"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应急救援队伍根据救援命令参加生产安全事故应急救援所耗费用，由事故责任单位承担；事故责任单位无力承担的，由有关人民政府协调解决。</w:t>
            </w:r>
          </w:p>
        </w:tc>
        <w:tc>
          <w:tcPr>
            <w:tcW w:w="8078" w:type="dxa"/>
            <w:vMerge w:val="restart"/>
            <w:tcBorders>
              <w:top w:val="nil"/>
              <w:left w:val="nil"/>
              <w:bottom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《生产安全事故应急条例》第十九条。</w:t>
            </w:r>
          </w:p>
        </w:tc>
      </w:tr>
      <w:tr>
        <w:tblPrEx>
          <w:tblCellMar>
            <w:top w:w="0" w:type="dxa"/>
            <w:left w:w="108" w:type="dxa"/>
            <w:bottom w:w="0" w:type="dxa"/>
            <w:right w:w="108" w:type="dxa"/>
          </w:tblCellMar>
        </w:tblPrEx>
        <w:trPr>
          <w:trHeight w:val="433"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楷体_GB2312" w:hAnsi="宋体" w:eastAsia="楷体_GB2312" w:cs="宋体"/>
                <w:kern w:val="0"/>
                <w:szCs w:val="21"/>
              </w:rPr>
            </w:pPr>
          </w:p>
        </w:tc>
        <w:tc>
          <w:tcPr>
            <w:tcW w:w="1134"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4112"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8078" w:type="dxa"/>
            <w:vMerge w:val="continue"/>
            <w:tcBorders>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r>
    </w:tbl>
    <w:p>
      <w:pPr>
        <w:widowControl/>
        <w:ind w:firstLine="300" w:firstLineChars="200"/>
        <w:jc w:val="left"/>
        <w:rPr>
          <w:rFonts w:ascii="仿宋_GB2312" w:eastAsia="仿宋_GB2312"/>
          <w:sz w:val="15"/>
          <w:szCs w:val="15"/>
        </w:rPr>
      </w:pPr>
    </w:p>
    <w:sectPr>
      <w:footerReference r:id="rId3" w:type="default"/>
      <w:pgSz w:w="16838" w:h="11906" w:orient="landscape"/>
      <w:pgMar w:top="1587" w:right="1474" w:bottom="1587" w:left="1701" w:header="0" w:footer="907" w:gutter="0"/>
      <w:pgNumType w:start="8"/>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9939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a:effectLst/>
                    </wps:spPr>
                    <wps:txbx>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36</w:t>
                          </w:r>
                          <w:r>
                            <w:rPr>
                              <w:rFonts w:hint="eastAsia" w:ascii="仿宋_GB2312" w:hAnsi="仿宋_GB2312" w:eastAsia="仿宋_GB2312" w:cs="仿宋_GB2312"/>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7pt;width:10.05pt;mso-position-horizontal:center;mso-position-horizontal-relative:margin;mso-wrap-style:none;z-index:251659264;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lgyuNEAAAADAQAADwAAAAAAAAABACAAAAAiAAAAZHJzL2Rvd25yZXYu&#10;eG1sUEsBAhQAFAAAAAgAh07iQCphCXECAgAAEgQAAA4AAAAAAAAAAQAgAAAAIAEAAGRycy9lMm9E&#10;b2MueG1sUEsFBgAAAAAGAAYAWQEAAJQFAAAAAA==&#10;">
              <v:fill on="f" focussize="0,0"/>
              <v:stroke on="f"/>
              <v:imagedata o:title=""/>
              <o:lock v:ext="edit" aspectratio="f"/>
              <v:textbox inset="0mm,0mm,0mm,0mm" style="mso-fit-shape-to-text:t;">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36</w:t>
                    </w:r>
                    <w:r>
                      <w:rPr>
                        <w:rFonts w:hint="eastAsia" w:ascii="仿宋_GB2312" w:hAnsi="仿宋_GB2312" w:eastAsia="仿宋_GB2312" w:cs="仿宋_GB2312"/>
                      </w:rPr>
                      <w:fldChar w:fldCharType="end"/>
                    </w:r>
                  </w:p>
                </w:txbxContent>
              </v:textbox>
            </v:shape>
          </w:pict>
        </mc:Fallback>
      </mc:AlternateContent>
    </w:r>
    <w:sdt>
      <w:sdtPr>
        <w:id w:val="30217226"/>
      </w:sdtPr>
      <w:sdtContent/>
    </w:sdt>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7D5B0"/>
    <w:multiLevelType w:val="singleLevel"/>
    <w:tmpl w:val="DD27D5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1C"/>
    <w:rsid w:val="000024BE"/>
    <w:rsid w:val="00003565"/>
    <w:rsid w:val="00004570"/>
    <w:rsid w:val="00004666"/>
    <w:rsid w:val="0000696C"/>
    <w:rsid w:val="00006BD8"/>
    <w:rsid w:val="00010064"/>
    <w:rsid w:val="000109A2"/>
    <w:rsid w:val="0001196B"/>
    <w:rsid w:val="000125C7"/>
    <w:rsid w:val="00013E9F"/>
    <w:rsid w:val="00013F5F"/>
    <w:rsid w:val="0001489E"/>
    <w:rsid w:val="000157D8"/>
    <w:rsid w:val="00016C71"/>
    <w:rsid w:val="00020D8F"/>
    <w:rsid w:val="00021DE9"/>
    <w:rsid w:val="000227F9"/>
    <w:rsid w:val="000230F2"/>
    <w:rsid w:val="000243FD"/>
    <w:rsid w:val="0002441A"/>
    <w:rsid w:val="00024432"/>
    <w:rsid w:val="0002627D"/>
    <w:rsid w:val="000277C5"/>
    <w:rsid w:val="00030255"/>
    <w:rsid w:val="00030E09"/>
    <w:rsid w:val="00031327"/>
    <w:rsid w:val="0003193E"/>
    <w:rsid w:val="000330DF"/>
    <w:rsid w:val="00033C82"/>
    <w:rsid w:val="0003484D"/>
    <w:rsid w:val="000352F9"/>
    <w:rsid w:val="00035DAC"/>
    <w:rsid w:val="00035DDE"/>
    <w:rsid w:val="000361F2"/>
    <w:rsid w:val="00036273"/>
    <w:rsid w:val="00036788"/>
    <w:rsid w:val="000405E2"/>
    <w:rsid w:val="00040A6D"/>
    <w:rsid w:val="0004118D"/>
    <w:rsid w:val="00044DC8"/>
    <w:rsid w:val="00053E80"/>
    <w:rsid w:val="00054DDA"/>
    <w:rsid w:val="00056260"/>
    <w:rsid w:val="00056510"/>
    <w:rsid w:val="00056C06"/>
    <w:rsid w:val="00057218"/>
    <w:rsid w:val="000704E4"/>
    <w:rsid w:val="00072AA9"/>
    <w:rsid w:val="00075273"/>
    <w:rsid w:val="000764BD"/>
    <w:rsid w:val="000775FB"/>
    <w:rsid w:val="00080165"/>
    <w:rsid w:val="00082D89"/>
    <w:rsid w:val="00083BD6"/>
    <w:rsid w:val="00083FC3"/>
    <w:rsid w:val="00086969"/>
    <w:rsid w:val="00087522"/>
    <w:rsid w:val="000912B9"/>
    <w:rsid w:val="00092FF2"/>
    <w:rsid w:val="00093150"/>
    <w:rsid w:val="00095C9D"/>
    <w:rsid w:val="000961F8"/>
    <w:rsid w:val="000A1741"/>
    <w:rsid w:val="000A1CC2"/>
    <w:rsid w:val="000A2992"/>
    <w:rsid w:val="000A4AE7"/>
    <w:rsid w:val="000B09A8"/>
    <w:rsid w:val="000B1489"/>
    <w:rsid w:val="000B1763"/>
    <w:rsid w:val="000B2552"/>
    <w:rsid w:val="000B7819"/>
    <w:rsid w:val="000C4F73"/>
    <w:rsid w:val="000C5A76"/>
    <w:rsid w:val="000C6558"/>
    <w:rsid w:val="000D3A16"/>
    <w:rsid w:val="000D772B"/>
    <w:rsid w:val="000E0875"/>
    <w:rsid w:val="000E285E"/>
    <w:rsid w:val="000E28E9"/>
    <w:rsid w:val="000E34E3"/>
    <w:rsid w:val="000E6629"/>
    <w:rsid w:val="000F4B04"/>
    <w:rsid w:val="00101EA3"/>
    <w:rsid w:val="00102CAB"/>
    <w:rsid w:val="00103F5B"/>
    <w:rsid w:val="0010460B"/>
    <w:rsid w:val="00105AE1"/>
    <w:rsid w:val="00105C90"/>
    <w:rsid w:val="00106312"/>
    <w:rsid w:val="00107B09"/>
    <w:rsid w:val="00110147"/>
    <w:rsid w:val="0011041D"/>
    <w:rsid w:val="00110D05"/>
    <w:rsid w:val="00112D07"/>
    <w:rsid w:val="00114987"/>
    <w:rsid w:val="00115694"/>
    <w:rsid w:val="00115E42"/>
    <w:rsid w:val="0012264E"/>
    <w:rsid w:val="00122CFF"/>
    <w:rsid w:val="00123326"/>
    <w:rsid w:val="0012416E"/>
    <w:rsid w:val="00125399"/>
    <w:rsid w:val="00125F06"/>
    <w:rsid w:val="001333AF"/>
    <w:rsid w:val="0013352A"/>
    <w:rsid w:val="00133591"/>
    <w:rsid w:val="00133A41"/>
    <w:rsid w:val="0013735B"/>
    <w:rsid w:val="0014016C"/>
    <w:rsid w:val="001431BA"/>
    <w:rsid w:val="00144374"/>
    <w:rsid w:val="001449EA"/>
    <w:rsid w:val="00147206"/>
    <w:rsid w:val="0015045A"/>
    <w:rsid w:val="00153337"/>
    <w:rsid w:val="001533B9"/>
    <w:rsid w:val="001552FF"/>
    <w:rsid w:val="00155406"/>
    <w:rsid w:val="00155B9D"/>
    <w:rsid w:val="00155C00"/>
    <w:rsid w:val="00156079"/>
    <w:rsid w:val="00157B95"/>
    <w:rsid w:val="00160709"/>
    <w:rsid w:val="0016381A"/>
    <w:rsid w:val="00163F37"/>
    <w:rsid w:val="00164473"/>
    <w:rsid w:val="0016533C"/>
    <w:rsid w:val="00165EE3"/>
    <w:rsid w:val="001671D6"/>
    <w:rsid w:val="001676B6"/>
    <w:rsid w:val="00170747"/>
    <w:rsid w:val="00171674"/>
    <w:rsid w:val="00175AF5"/>
    <w:rsid w:val="001777BC"/>
    <w:rsid w:val="001826BE"/>
    <w:rsid w:val="0018359A"/>
    <w:rsid w:val="00185719"/>
    <w:rsid w:val="001869EB"/>
    <w:rsid w:val="0018744A"/>
    <w:rsid w:val="0018759F"/>
    <w:rsid w:val="00190466"/>
    <w:rsid w:val="00191FB7"/>
    <w:rsid w:val="00194236"/>
    <w:rsid w:val="00196C27"/>
    <w:rsid w:val="001A5E49"/>
    <w:rsid w:val="001A6567"/>
    <w:rsid w:val="001A7706"/>
    <w:rsid w:val="001A7893"/>
    <w:rsid w:val="001B25D2"/>
    <w:rsid w:val="001B4D82"/>
    <w:rsid w:val="001C0102"/>
    <w:rsid w:val="001C0C2E"/>
    <w:rsid w:val="001C364B"/>
    <w:rsid w:val="001C416B"/>
    <w:rsid w:val="001C7E5D"/>
    <w:rsid w:val="001D03A1"/>
    <w:rsid w:val="001D26A4"/>
    <w:rsid w:val="001D3B98"/>
    <w:rsid w:val="001D4489"/>
    <w:rsid w:val="001D5892"/>
    <w:rsid w:val="001D5AD0"/>
    <w:rsid w:val="001E1C8F"/>
    <w:rsid w:val="001E1E0B"/>
    <w:rsid w:val="001E2A32"/>
    <w:rsid w:val="001E56F4"/>
    <w:rsid w:val="001E5855"/>
    <w:rsid w:val="001E7C5E"/>
    <w:rsid w:val="001F2C61"/>
    <w:rsid w:val="001F7CFC"/>
    <w:rsid w:val="00200D1B"/>
    <w:rsid w:val="0020330A"/>
    <w:rsid w:val="0020479B"/>
    <w:rsid w:val="002055F4"/>
    <w:rsid w:val="002069B6"/>
    <w:rsid w:val="002076FD"/>
    <w:rsid w:val="00213CE7"/>
    <w:rsid w:val="00215426"/>
    <w:rsid w:val="002175DC"/>
    <w:rsid w:val="0021783E"/>
    <w:rsid w:val="00220597"/>
    <w:rsid w:val="00220AC8"/>
    <w:rsid w:val="002246CC"/>
    <w:rsid w:val="002270F7"/>
    <w:rsid w:val="00227CEA"/>
    <w:rsid w:val="00231CFA"/>
    <w:rsid w:val="00233858"/>
    <w:rsid w:val="00233A0A"/>
    <w:rsid w:val="00233ACF"/>
    <w:rsid w:val="00233CDC"/>
    <w:rsid w:val="00234100"/>
    <w:rsid w:val="00235186"/>
    <w:rsid w:val="00236040"/>
    <w:rsid w:val="002365D7"/>
    <w:rsid w:val="0024026D"/>
    <w:rsid w:val="00240DFD"/>
    <w:rsid w:val="0024400D"/>
    <w:rsid w:val="002445B2"/>
    <w:rsid w:val="002467E9"/>
    <w:rsid w:val="00247402"/>
    <w:rsid w:val="0025119C"/>
    <w:rsid w:val="002517E3"/>
    <w:rsid w:val="00255ED0"/>
    <w:rsid w:val="00257470"/>
    <w:rsid w:val="00261948"/>
    <w:rsid w:val="00261ED4"/>
    <w:rsid w:val="00263967"/>
    <w:rsid w:val="0026418B"/>
    <w:rsid w:val="00264908"/>
    <w:rsid w:val="00264F84"/>
    <w:rsid w:val="0026669A"/>
    <w:rsid w:val="00267384"/>
    <w:rsid w:val="00272E61"/>
    <w:rsid w:val="002749A2"/>
    <w:rsid w:val="00274BA3"/>
    <w:rsid w:val="0028086D"/>
    <w:rsid w:val="00280DEE"/>
    <w:rsid w:val="00283BC3"/>
    <w:rsid w:val="00285233"/>
    <w:rsid w:val="00287014"/>
    <w:rsid w:val="00292609"/>
    <w:rsid w:val="00292673"/>
    <w:rsid w:val="0029379F"/>
    <w:rsid w:val="00294514"/>
    <w:rsid w:val="00294B47"/>
    <w:rsid w:val="002A192B"/>
    <w:rsid w:val="002A3313"/>
    <w:rsid w:val="002A69AF"/>
    <w:rsid w:val="002A6EAA"/>
    <w:rsid w:val="002A6FDE"/>
    <w:rsid w:val="002A708B"/>
    <w:rsid w:val="002B10FB"/>
    <w:rsid w:val="002B2515"/>
    <w:rsid w:val="002B28F7"/>
    <w:rsid w:val="002B3992"/>
    <w:rsid w:val="002B4055"/>
    <w:rsid w:val="002B5C7E"/>
    <w:rsid w:val="002C2564"/>
    <w:rsid w:val="002C5CCC"/>
    <w:rsid w:val="002C69DA"/>
    <w:rsid w:val="002C7257"/>
    <w:rsid w:val="002C76DA"/>
    <w:rsid w:val="002D0303"/>
    <w:rsid w:val="002D44B1"/>
    <w:rsid w:val="002E1C4B"/>
    <w:rsid w:val="002E21A2"/>
    <w:rsid w:val="002E2B89"/>
    <w:rsid w:val="002E3BC7"/>
    <w:rsid w:val="002E5E19"/>
    <w:rsid w:val="002E61F1"/>
    <w:rsid w:val="002F0140"/>
    <w:rsid w:val="002F047E"/>
    <w:rsid w:val="002F592D"/>
    <w:rsid w:val="00300B7F"/>
    <w:rsid w:val="003042D6"/>
    <w:rsid w:val="003062B8"/>
    <w:rsid w:val="00306383"/>
    <w:rsid w:val="00306C01"/>
    <w:rsid w:val="003119AF"/>
    <w:rsid w:val="00311BB7"/>
    <w:rsid w:val="00313220"/>
    <w:rsid w:val="003138CB"/>
    <w:rsid w:val="00315499"/>
    <w:rsid w:val="0031652E"/>
    <w:rsid w:val="003207A5"/>
    <w:rsid w:val="00320F52"/>
    <w:rsid w:val="003222BB"/>
    <w:rsid w:val="0032418E"/>
    <w:rsid w:val="003246F3"/>
    <w:rsid w:val="003308C1"/>
    <w:rsid w:val="00331747"/>
    <w:rsid w:val="00332ABE"/>
    <w:rsid w:val="00333F86"/>
    <w:rsid w:val="003349C6"/>
    <w:rsid w:val="00334D00"/>
    <w:rsid w:val="00334F17"/>
    <w:rsid w:val="00335888"/>
    <w:rsid w:val="00336F8E"/>
    <w:rsid w:val="00340E40"/>
    <w:rsid w:val="00341587"/>
    <w:rsid w:val="00344D25"/>
    <w:rsid w:val="00345B1C"/>
    <w:rsid w:val="00345FA3"/>
    <w:rsid w:val="00345FB9"/>
    <w:rsid w:val="00347223"/>
    <w:rsid w:val="00350A3D"/>
    <w:rsid w:val="00351DF3"/>
    <w:rsid w:val="00352AFB"/>
    <w:rsid w:val="0035479F"/>
    <w:rsid w:val="00355C21"/>
    <w:rsid w:val="0035649E"/>
    <w:rsid w:val="003575CF"/>
    <w:rsid w:val="00357892"/>
    <w:rsid w:val="00357A27"/>
    <w:rsid w:val="00361115"/>
    <w:rsid w:val="00362621"/>
    <w:rsid w:val="003708E8"/>
    <w:rsid w:val="00371993"/>
    <w:rsid w:val="003724B9"/>
    <w:rsid w:val="00375713"/>
    <w:rsid w:val="00375FA0"/>
    <w:rsid w:val="00377364"/>
    <w:rsid w:val="00377A6C"/>
    <w:rsid w:val="003819CA"/>
    <w:rsid w:val="0038220F"/>
    <w:rsid w:val="003824FF"/>
    <w:rsid w:val="003834F3"/>
    <w:rsid w:val="00386323"/>
    <w:rsid w:val="00386631"/>
    <w:rsid w:val="00386CE1"/>
    <w:rsid w:val="003875AB"/>
    <w:rsid w:val="003900F7"/>
    <w:rsid w:val="003925D7"/>
    <w:rsid w:val="00392ADB"/>
    <w:rsid w:val="0039357D"/>
    <w:rsid w:val="003937E7"/>
    <w:rsid w:val="00395077"/>
    <w:rsid w:val="00396DF1"/>
    <w:rsid w:val="003A050C"/>
    <w:rsid w:val="003A07DB"/>
    <w:rsid w:val="003A12F7"/>
    <w:rsid w:val="003A2860"/>
    <w:rsid w:val="003A6A97"/>
    <w:rsid w:val="003B5185"/>
    <w:rsid w:val="003B5F84"/>
    <w:rsid w:val="003B7115"/>
    <w:rsid w:val="003C01FB"/>
    <w:rsid w:val="003C089F"/>
    <w:rsid w:val="003C3129"/>
    <w:rsid w:val="003C3974"/>
    <w:rsid w:val="003C61EA"/>
    <w:rsid w:val="003D4EBC"/>
    <w:rsid w:val="003D709B"/>
    <w:rsid w:val="003D7815"/>
    <w:rsid w:val="003E10E4"/>
    <w:rsid w:val="003E148E"/>
    <w:rsid w:val="003E1F8D"/>
    <w:rsid w:val="003E238E"/>
    <w:rsid w:val="003E29EB"/>
    <w:rsid w:val="003E314F"/>
    <w:rsid w:val="003E320B"/>
    <w:rsid w:val="003E4473"/>
    <w:rsid w:val="003E7473"/>
    <w:rsid w:val="003F03FC"/>
    <w:rsid w:val="003F15EC"/>
    <w:rsid w:val="003F18BD"/>
    <w:rsid w:val="003F4512"/>
    <w:rsid w:val="003F51FA"/>
    <w:rsid w:val="00405EA6"/>
    <w:rsid w:val="0040779E"/>
    <w:rsid w:val="00411158"/>
    <w:rsid w:val="00411E73"/>
    <w:rsid w:val="004120E2"/>
    <w:rsid w:val="00412B2A"/>
    <w:rsid w:val="00412E32"/>
    <w:rsid w:val="00414062"/>
    <w:rsid w:val="004146C2"/>
    <w:rsid w:val="00414890"/>
    <w:rsid w:val="004166DD"/>
    <w:rsid w:val="00416850"/>
    <w:rsid w:val="00420516"/>
    <w:rsid w:val="004229F2"/>
    <w:rsid w:val="00422C25"/>
    <w:rsid w:val="00426B80"/>
    <w:rsid w:val="00426C45"/>
    <w:rsid w:val="00430A6E"/>
    <w:rsid w:val="004313B8"/>
    <w:rsid w:val="004335A0"/>
    <w:rsid w:val="00433CAF"/>
    <w:rsid w:val="00434735"/>
    <w:rsid w:val="004372E2"/>
    <w:rsid w:val="00437524"/>
    <w:rsid w:val="0044328C"/>
    <w:rsid w:val="00445CA1"/>
    <w:rsid w:val="00445ED5"/>
    <w:rsid w:val="00452FA8"/>
    <w:rsid w:val="004562BE"/>
    <w:rsid w:val="0045637D"/>
    <w:rsid w:val="004563F1"/>
    <w:rsid w:val="00456FA4"/>
    <w:rsid w:val="00462A06"/>
    <w:rsid w:val="00470369"/>
    <w:rsid w:val="00477679"/>
    <w:rsid w:val="004809FE"/>
    <w:rsid w:val="00481E60"/>
    <w:rsid w:val="00482A47"/>
    <w:rsid w:val="004910F9"/>
    <w:rsid w:val="00491C66"/>
    <w:rsid w:val="0049385A"/>
    <w:rsid w:val="00494893"/>
    <w:rsid w:val="00494F00"/>
    <w:rsid w:val="00495522"/>
    <w:rsid w:val="004972FA"/>
    <w:rsid w:val="0049764D"/>
    <w:rsid w:val="00497803"/>
    <w:rsid w:val="00497FEF"/>
    <w:rsid w:val="004A5213"/>
    <w:rsid w:val="004A7590"/>
    <w:rsid w:val="004A79DB"/>
    <w:rsid w:val="004B1C9C"/>
    <w:rsid w:val="004B4A54"/>
    <w:rsid w:val="004B588D"/>
    <w:rsid w:val="004B6524"/>
    <w:rsid w:val="004B66E7"/>
    <w:rsid w:val="004B6F75"/>
    <w:rsid w:val="004B7CE7"/>
    <w:rsid w:val="004C106F"/>
    <w:rsid w:val="004C1FB3"/>
    <w:rsid w:val="004C77B0"/>
    <w:rsid w:val="004D1427"/>
    <w:rsid w:val="004D694A"/>
    <w:rsid w:val="004E3E76"/>
    <w:rsid w:val="004E4A86"/>
    <w:rsid w:val="004E6B7D"/>
    <w:rsid w:val="004E72B7"/>
    <w:rsid w:val="004E7C3E"/>
    <w:rsid w:val="004F1BF4"/>
    <w:rsid w:val="004F3088"/>
    <w:rsid w:val="004F3459"/>
    <w:rsid w:val="004F3791"/>
    <w:rsid w:val="004F49E3"/>
    <w:rsid w:val="004F5E3B"/>
    <w:rsid w:val="004F6A24"/>
    <w:rsid w:val="0050498C"/>
    <w:rsid w:val="00511709"/>
    <w:rsid w:val="00511D0E"/>
    <w:rsid w:val="0052041C"/>
    <w:rsid w:val="005207E3"/>
    <w:rsid w:val="00521029"/>
    <w:rsid w:val="005215B8"/>
    <w:rsid w:val="00523AA1"/>
    <w:rsid w:val="005250F5"/>
    <w:rsid w:val="005260EE"/>
    <w:rsid w:val="005262E8"/>
    <w:rsid w:val="005265AA"/>
    <w:rsid w:val="0052737E"/>
    <w:rsid w:val="00531159"/>
    <w:rsid w:val="005327AA"/>
    <w:rsid w:val="005327CF"/>
    <w:rsid w:val="00533705"/>
    <w:rsid w:val="0053767F"/>
    <w:rsid w:val="0054124B"/>
    <w:rsid w:val="00542A83"/>
    <w:rsid w:val="005466C8"/>
    <w:rsid w:val="005501C0"/>
    <w:rsid w:val="00550553"/>
    <w:rsid w:val="00550F4D"/>
    <w:rsid w:val="005513E1"/>
    <w:rsid w:val="00554A47"/>
    <w:rsid w:val="00555536"/>
    <w:rsid w:val="00560878"/>
    <w:rsid w:val="00560B3C"/>
    <w:rsid w:val="00562E5D"/>
    <w:rsid w:val="00564194"/>
    <w:rsid w:val="00564E44"/>
    <w:rsid w:val="00565005"/>
    <w:rsid w:val="00566B9B"/>
    <w:rsid w:val="00566E99"/>
    <w:rsid w:val="005676E1"/>
    <w:rsid w:val="005703E4"/>
    <w:rsid w:val="005713AF"/>
    <w:rsid w:val="00571F06"/>
    <w:rsid w:val="00573DDA"/>
    <w:rsid w:val="00575002"/>
    <w:rsid w:val="00580E23"/>
    <w:rsid w:val="00580E89"/>
    <w:rsid w:val="005815FF"/>
    <w:rsid w:val="00582D4A"/>
    <w:rsid w:val="00584911"/>
    <w:rsid w:val="00585C88"/>
    <w:rsid w:val="00586A08"/>
    <w:rsid w:val="00586A96"/>
    <w:rsid w:val="00586B78"/>
    <w:rsid w:val="0058762D"/>
    <w:rsid w:val="00592095"/>
    <w:rsid w:val="00596682"/>
    <w:rsid w:val="00597839"/>
    <w:rsid w:val="005A0049"/>
    <w:rsid w:val="005A15EC"/>
    <w:rsid w:val="005A31C2"/>
    <w:rsid w:val="005A54A6"/>
    <w:rsid w:val="005A650E"/>
    <w:rsid w:val="005A77B7"/>
    <w:rsid w:val="005B0870"/>
    <w:rsid w:val="005B0FB3"/>
    <w:rsid w:val="005B2F9A"/>
    <w:rsid w:val="005B3600"/>
    <w:rsid w:val="005B57C0"/>
    <w:rsid w:val="005B5EE2"/>
    <w:rsid w:val="005B5F27"/>
    <w:rsid w:val="005C0817"/>
    <w:rsid w:val="005C179F"/>
    <w:rsid w:val="005C23BE"/>
    <w:rsid w:val="005C4744"/>
    <w:rsid w:val="005C4823"/>
    <w:rsid w:val="005C5D62"/>
    <w:rsid w:val="005C6DC0"/>
    <w:rsid w:val="005C77CD"/>
    <w:rsid w:val="005D1183"/>
    <w:rsid w:val="005D1EE4"/>
    <w:rsid w:val="005D1FC4"/>
    <w:rsid w:val="005D558D"/>
    <w:rsid w:val="005E221D"/>
    <w:rsid w:val="005E2AB3"/>
    <w:rsid w:val="005E32FB"/>
    <w:rsid w:val="005E5E2C"/>
    <w:rsid w:val="005E7545"/>
    <w:rsid w:val="005F11AB"/>
    <w:rsid w:val="005F296B"/>
    <w:rsid w:val="005F3112"/>
    <w:rsid w:val="005F3623"/>
    <w:rsid w:val="005F63F4"/>
    <w:rsid w:val="005F7F27"/>
    <w:rsid w:val="00602BCC"/>
    <w:rsid w:val="00605C10"/>
    <w:rsid w:val="0060766F"/>
    <w:rsid w:val="0061076A"/>
    <w:rsid w:val="00610987"/>
    <w:rsid w:val="00610D23"/>
    <w:rsid w:val="00611C7D"/>
    <w:rsid w:val="00614695"/>
    <w:rsid w:val="00615890"/>
    <w:rsid w:val="00615BC1"/>
    <w:rsid w:val="00615E36"/>
    <w:rsid w:val="00617CD3"/>
    <w:rsid w:val="00621C9C"/>
    <w:rsid w:val="00626668"/>
    <w:rsid w:val="0063107B"/>
    <w:rsid w:val="006318D5"/>
    <w:rsid w:val="006348F8"/>
    <w:rsid w:val="00636EA2"/>
    <w:rsid w:val="0063769E"/>
    <w:rsid w:val="006409F3"/>
    <w:rsid w:val="00641318"/>
    <w:rsid w:val="006413AB"/>
    <w:rsid w:val="00643402"/>
    <w:rsid w:val="00644ACE"/>
    <w:rsid w:val="00645693"/>
    <w:rsid w:val="00646E1F"/>
    <w:rsid w:val="0065267B"/>
    <w:rsid w:val="00653F96"/>
    <w:rsid w:val="00655191"/>
    <w:rsid w:val="006569E0"/>
    <w:rsid w:val="006571AF"/>
    <w:rsid w:val="0065722C"/>
    <w:rsid w:val="006577A7"/>
    <w:rsid w:val="00657B81"/>
    <w:rsid w:val="00657C99"/>
    <w:rsid w:val="00657DC6"/>
    <w:rsid w:val="00660F95"/>
    <w:rsid w:val="006622FA"/>
    <w:rsid w:val="00663ED5"/>
    <w:rsid w:val="00663F35"/>
    <w:rsid w:val="006649D6"/>
    <w:rsid w:val="0066751A"/>
    <w:rsid w:val="0067007F"/>
    <w:rsid w:val="00671033"/>
    <w:rsid w:val="00673AB8"/>
    <w:rsid w:val="00675655"/>
    <w:rsid w:val="006763CD"/>
    <w:rsid w:val="006779B2"/>
    <w:rsid w:val="00677BC5"/>
    <w:rsid w:val="0068131D"/>
    <w:rsid w:val="00682C64"/>
    <w:rsid w:val="0068586B"/>
    <w:rsid w:val="00690252"/>
    <w:rsid w:val="00692E14"/>
    <w:rsid w:val="00697657"/>
    <w:rsid w:val="006A0386"/>
    <w:rsid w:val="006A2538"/>
    <w:rsid w:val="006A59F9"/>
    <w:rsid w:val="006A622C"/>
    <w:rsid w:val="006A6508"/>
    <w:rsid w:val="006A717C"/>
    <w:rsid w:val="006A77D7"/>
    <w:rsid w:val="006B402F"/>
    <w:rsid w:val="006B4605"/>
    <w:rsid w:val="006B5754"/>
    <w:rsid w:val="006B61C2"/>
    <w:rsid w:val="006C0FFD"/>
    <w:rsid w:val="006C2C6B"/>
    <w:rsid w:val="006C4245"/>
    <w:rsid w:val="006C5E4C"/>
    <w:rsid w:val="006C746B"/>
    <w:rsid w:val="006D08F9"/>
    <w:rsid w:val="006D14EE"/>
    <w:rsid w:val="006D1A0B"/>
    <w:rsid w:val="006D3539"/>
    <w:rsid w:val="006D4E73"/>
    <w:rsid w:val="006E0837"/>
    <w:rsid w:val="006E3083"/>
    <w:rsid w:val="006E3716"/>
    <w:rsid w:val="006F2CF9"/>
    <w:rsid w:val="006F681F"/>
    <w:rsid w:val="00700A14"/>
    <w:rsid w:val="007012B8"/>
    <w:rsid w:val="00701449"/>
    <w:rsid w:val="007034BC"/>
    <w:rsid w:val="00703BA5"/>
    <w:rsid w:val="0070552C"/>
    <w:rsid w:val="007076D4"/>
    <w:rsid w:val="00707BE0"/>
    <w:rsid w:val="00711747"/>
    <w:rsid w:val="007136AC"/>
    <w:rsid w:val="0071511A"/>
    <w:rsid w:val="007159CD"/>
    <w:rsid w:val="00721A27"/>
    <w:rsid w:val="00722C4C"/>
    <w:rsid w:val="00722DBD"/>
    <w:rsid w:val="007230DC"/>
    <w:rsid w:val="00725C42"/>
    <w:rsid w:val="007270DC"/>
    <w:rsid w:val="007273BF"/>
    <w:rsid w:val="00732868"/>
    <w:rsid w:val="00732E1B"/>
    <w:rsid w:val="00733283"/>
    <w:rsid w:val="00741909"/>
    <w:rsid w:val="007433F2"/>
    <w:rsid w:val="007447DA"/>
    <w:rsid w:val="00755D4F"/>
    <w:rsid w:val="00757040"/>
    <w:rsid w:val="00757F3E"/>
    <w:rsid w:val="00762621"/>
    <w:rsid w:val="00762B88"/>
    <w:rsid w:val="007642BD"/>
    <w:rsid w:val="00764B15"/>
    <w:rsid w:val="007668CC"/>
    <w:rsid w:val="00780CB1"/>
    <w:rsid w:val="00782712"/>
    <w:rsid w:val="0078392B"/>
    <w:rsid w:val="007841DD"/>
    <w:rsid w:val="00784A8B"/>
    <w:rsid w:val="007862AD"/>
    <w:rsid w:val="007865BB"/>
    <w:rsid w:val="00791FA2"/>
    <w:rsid w:val="00793B2F"/>
    <w:rsid w:val="00794444"/>
    <w:rsid w:val="007944A9"/>
    <w:rsid w:val="007954AE"/>
    <w:rsid w:val="00795D0D"/>
    <w:rsid w:val="00795F31"/>
    <w:rsid w:val="007A05C2"/>
    <w:rsid w:val="007A11CE"/>
    <w:rsid w:val="007A14A9"/>
    <w:rsid w:val="007A45B7"/>
    <w:rsid w:val="007A5E02"/>
    <w:rsid w:val="007A7AE8"/>
    <w:rsid w:val="007B052D"/>
    <w:rsid w:val="007B1449"/>
    <w:rsid w:val="007B2BFE"/>
    <w:rsid w:val="007B3A82"/>
    <w:rsid w:val="007B4729"/>
    <w:rsid w:val="007B4EE9"/>
    <w:rsid w:val="007B6F95"/>
    <w:rsid w:val="007B73CB"/>
    <w:rsid w:val="007B77D6"/>
    <w:rsid w:val="007B7A71"/>
    <w:rsid w:val="007C08A5"/>
    <w:rsid w:val="007C0E3F"/>
    <w:rsid w:val="007C1600"/>
    <w:rsid w:val="007C172F"/>
    <w:rsid w:val="007C215D"/>
    <w:rsid w:val="007C34FF"/>
    <w:rsid w:val="007C362D"/>
    <w:rsid w:val="007C3FFD"/>
    <w:rsid w:val="007C7A65"/>
    <w:rsid w:val="007D1A03"/>
    <w:rsid w:val="007D2983"/>
    <w:rsid w:val="007D5D7E"/>
    <w:rsid w:val="007E3B5D"/>
    <w:rsid w:val="007E5738"/>
    <w:rsid w:val="007E580D"/>
    <w:rsid w:val="007E6EAD"/>
    <w:rsid w:val="007F19F5"/>
    <w:rsid w:val="007F5C99"/>
    <w:rsid w:val="007F6ED1"/>
    <w:rsid w:val="00802017"/>
    <w:rsid w:val="0080302E"/>
    <w:rsid w:val="0081093A"/>
    <w:rsid w:val="00811DB8"/>
    <w:rsid w:val="00814DFC"/>
    <w:rsid w:val="00816094"/>
    <w:rsid w:val="00817723"/>
    <w:rsid w:val="00820E00"/>
    <w:rsid w:val="0082192D"/>
    <w:rsid w:val="00822DC8"/>
    <w:rsid w:val="0082303C"/>
    <w:rsid w:val="00824858"/>
    <w:rsid w:val="00825927"/>
    <w:rsid w:val="00825F6F"/>
    <w:rsid w:val="00827FC8"/>
    <w:rsid w:val="00831A48"/>
    <w:rsid w:val="00833A36"/>
    <w:rsid w:val="00834397"/>
    <w:rsid w:val="00835C18"/>
    <w:rsid w:val="00843753"/>
    <w:rsid w:val="00844503"/>
    <w:rsid w:val="00846A19"/>
    <w:rsid w:val="00850606"/>
    <w:rsid w:val="008519E6"/>
    <w:rsid w:val="00852E0A"/>
    <w:rsid w:val="00852E73"/>
    <w:rsid w:val="008539B2"/>
    <w:rsid w:val="00855D16"/>
    <w:rsid w:val="00856039"/>
    <w:rsid w:val="008565AB"/>
    <w:rsid w:val="008613FC"/>
    <w:rsid w:val="008619EF"/>
    <w:rsid w:val="00864FAF"/>
    <w:rsid w:val="00870552"/>
    <w:rsid w:val="00871B93"/>
    <w:rsid w:val="00872489"/>
    <w:rsid w:val="00872B2D"/>
    <w:rsid w:val="00872EA8"/>
    <w:rsid w:val="00876B6C"/>
    <w:rsid w:val="008772C7"/>
    <w:rsid w:val="00877618"/>
    <w:rsid w:val="00890EC1"/>
    <w:rsid w:val="00893233"/>
    <w:rsid w:val="008A16F7"/>
    <w:rsid w:val="008A1D94"/>
    <w:rsid w:val="008A362B"/>
    <w:rsid w:val="008A3827"/>
    <w:rsid w:val="008B1A67"/>
    <w:rsid w:val="008B234A"/>
    <w:rsid w:val="008B39BF"/>
    <w:rsid w:val="008B3A4F"/>
    <w:rsid w:val="008B4023"/>
    <w:rsid w:val="008B47AD"/>
    <w:rsid w:val="008C3490"/>
    <w:rsid w:val="008C63D9"/>
    <w:rsid w:val="008C70D3"/>
    <w:rsid w:val="008D2390"/>
    <w:rsid w:val="008E1E0C"/>
    <w:rsid w:val="008E35DF"/>
    <w:rsid w:val="008E541E"/>
    <w:rsid w:val="008E733F"/>
    <w:rsid w:val="008E7980"/>
    <w:rsid w:val="008F0D48"/>
    <w:rsid w:val="008F406B"/>
    <w:rsid w:val="008F4ADD"/>
    <w:rsid w:val="008F4E95"/>
    <w:rsid w:val="008F51D1"/>
    <w:rsid w:val="008F7C74"/>
    <w:rsid w:val="008F7FE9"/>
    <w:rsid w:val="009010B1"/>
    <w:rsid w:val="009028C8"/>
    <w:rsid w:val="00906161"/>
    <w:rsid w:val="00913332"/>
    <w:rsid w:val="009156F5"/>
    <w:rsid w:val="00915EA7"/>
    <w:rsid w:val="00916FE0"/>
    <w:rsid w:val="00917B85"/>
    <w:rsid w:val="00920372"/>
    <w:rsid w:val="0092147F"/>
    <w:rsid w:val="00926DBD"/>
    <w:rsid w:val="00927803"/>
    <w:rsid w:val="00927EFD"/>
    <w:rsid w:val="00930AC0"/>
    <w:rsid w:val="009313BA"/>
    <w:rsid w:val="0093480C"/>
    <w:rsid w:val="00936750"/>
    <w:rsid w:val="009378C2"/>
    <w:rsid w:val="00937A70"/>
    <w:rsid w:val="009416FD"/>
    <w:rsid w:val="00941BFF"/>
    <w:rsid w:val="00942DFF"/>
    <w:rsid w:val="009448BD"/>
    <w:rsid w:val="00944FF2"/>
    <w:rsid w:val="00950555"/>
    <w:rsid w:val="00951B4C"/>
    <w:rsid w:val="00951BC1"/>
    <w:rsid w:val="00951D92"/>
    <w:rsid w:val="00952733"/>
    <w:rsid w:val="00952825"/>
    <w:rsid w:val="009556B1"/>
    <w:rsid w:val="0095641C"/>
    <w:rsid w:val="00961132"/>
    <w:rsid w:val="009619CD"/>
    <w:rsid w:val="00961C2E"/>
    <w:rsid w:val="00961F96"/>
    <w:rsid w:val="00963012"/>
    <w:rsid w:val="00963A6D"/>
    <w:rsid w:val="00964770"/>
    <w:rsid w:val="00967CB7"/>
    <w:rsid w:val="00973004"/>
    <w:rsid w:val="0097527A"/>
    <w:rsid w:val="009753F2"/>
    <w:rsid w:val="00980F5A"/>
    <w:rsid w:val="0098288A"/>
    <w:rsid w:val="00982F6B"/>
    <w:rsid w:val="00983474"/>
    <w:rsid w:val="00983FF9"/>
    <w:rsid w:val="009844D4"/>
    <w:rsid w:val="00984A30"/>
    <w:rsid w:val="00984B73"/>
    <w:rsid w:val="00986B29"/>
    <w:rsid w:val="0099186C"/>
    <w:rsid w:val="009920B8"/>
    <w:rsid w:val="00992733"/>
    <w:rsid w:val="00992F98"/>
    <w:rsid w:val="00997D7B"/>
    <w:rsid w:val="009A02E4"/>
    <w:rsid w:val="009A0851"/>
    <w:rsid w:val="009A608C"/>
    <w:rsid w:val="009A7019"/>
    <w:rsid w:val="009A7763"/>
    <w:rsid w:val="009B04D4"/>
    <w:rsid w:val="009B1A8A"/>
    <w:rsid w:val="009B319D"/>
    <w:rsid w:val="009B31A8"/>
    <w:rsid w:val="009B3846"/>
    <w:rsid w:val="009B786F"/>
    <w:rsid w:val="009B7E85"/>
    <w:rsid w:val="009B7FA6"/>
    <w:rsid w:val="009C1438"/>
    <w:rsid w:val="009C294F"/>
    <w:rsid w:val="009C37AE"/>
    <w:rsid w:val="009C4D85"/>
    <w:rsid w:val="009C5EA2"/>
    <w:rsid w:val="009D022B"/>
    <w:rsid w:val="009D1133"/>
    <w:rsid w:val="009D16F5"/>
    <w:rsid w:val="009D3E54"/>
    <w:rsid w:val="009D5583"/>
    <w:rsid w:val="009D5D55"/>
    <w:rsid w:val="009D7083"/>
    <w:rsid w:val="009E0B08"/>
    <w:rsid w:val="009E0BCB"/>
    <w:rsid w:val="009E23B4"/>
    <w:rsid w:val="009E2775"/>
    <w:rsid w:val="009E2B67"/>
    <w:rsid w:val="009E2B8F"/>
    <w:rsid w:val="009E31AF"/>
    <w:rsid w:val="009F7619"/>
    <w:rsid w:val="009F7CC6"/>
    <w:rsid w:val="00A01C9E"/>
    <w:rsid w:val="00A03D71"/>
    <w:rsid w:val="00A04C1B"/>
    <w:rsid w:val="00A05EAF"/>
    <w:rsid w:val="00A0657D"/>
    <w:rsid w:val="00A07A01"/>
    <w:rsid w:val="00A07C06"/>
    <w:rsid w:val="00A1141E"/>
    <w:rsid w:val="00A12239"/>
    <w:rsid w:val="00A13494"/>
    <w:rsid w:val="00A152EB"/>
    <w:rsid w:val="00A211B1"/>
    <w:rsid w:val="00A22965"/>
    <w:rsid w:val="00A231DF"/>
    <w:rsid w:val="00A25237"/>
    <w:rsid w:val="00A27DA6"/>
    <w:rsid w:val="00A3120C"/>
    <w:rsid w:val="00A33AE1"/>
    <w:rsid w:val="00A33AEE"/>
    <w:rsid w:val="00A37FCB"/>
    <w:rsid w:val="00A419A9"/>
    <w:rsid w:val="00A43034"/>
    <w:rsid w:val="00A43F19"/>
    <w:rsid w:val="00A44AB6"/>
    <w:rsid w:val="00A459B3"/>
    <w:rsid w:val="00A51ED7"/>
    <w:rsid w:val="00A5453F"/>
    <w:rsid w:val="00A55C64"/>
    <w:rsid w:val="00A56AE8"/>
    <w:rsid w:val="00A60349"/>
    <w:rsid w:val="00A62F9D"/>
    <w:rsid w:val="00A654B6"/>
    <w:rsid w:val="00A65A6B"/>
    <w:rsid w:val="00A66503"/>
    <w:rsid w:val="00A7180A"/>
    <w:rsid w:val="00A7189F"/>
    <w:rsid w:val="00A76110"/>
    <w:rsid w:val="00A7630B"/>
    <w:rsid w:val="00A76402"/>
    <w:rsid w:val="00A8181D"/>
    <w:rsid w:val="00A81FD1"/>
    <w:rsid w:val="00A84A7D"/>
    <w:rsid w:val="00A86CAD"/>
    <w:rsid w:val="00A9072C"/>
    <w:rsid w:val="00A90D5D"/>
    <w:rsid w:val="00A916BF"/>
    <w:rsid w:val="00A93236"/>
    <w:rsid w:val="00A93B16"/>
    <w:rsid w:val="00A951F3"/>
    <w:rsid w:val="00A95D67"/>
    <w:rsid w:val="00A969AC"/>
    <w:rsid w:val="00AA033D"/>
    <w:rsid w:val="00AA1A26"/>
    <w:rsid w:val="00AA20AB"/>
    <w:rsid w:val="00AA2235"/>
    <w:rsid w:val="00AA34D0"/>
    <w:rsid w:val="00AA4FBE"/>
    <w:rsid w:val="00AB13FF"/>
    <w:rsid w:val="00AB2350"/>
    <w:rsid w:val="00AB30B4"/>
    <w:rsid w:val="00AB3319"/>
    <w:rsid w:val="00AB75F3"/>
    <w:rsid w:val="00AC3A93"/>
    <w:rsid w:val="00AC5021"/>
    <w:rsid w:val="00AC74FD"/>
    <w:rsid w:val="00AC794F"/>
    <w:rsid w:val="00AD0529"/>
    <w:rsid w:val="00AD240B"/>
    <w:rsid w:val="00AD476A"/>
    <w:rsid w:val="00AD5414"/>
    <w:rsid w:val="00AD5917"/>
    <w:rsid w:val="00AD6359"/>
    <w:rsid w:val="00AD656D"/>
    <w:rsid w:val="00AE1A29"/>
    <w:rsid w:val="00AE5358"/>
    <w:rsid w:val="00AE6B2E"/>
    <w:rsid w:val="00AF120A"/>
    <w:rsid w:val="00AF20B5"/>
    <w:rsid w:val="00AF33C0"/>
    <w:rsid w:val="00AF35F0"/>
    <w:rsid w:val="00AF4B0D"/>
    <w:rsid w:val="00AF4DB6"/>
    <w:rsid w:val="00AF5E3F"/>
    <w:rsid w:val="00B0063C"/>
    <w:rsid w:val="00B014C7"/>
    <w:rsid w:val="00B0206B"/>
    <w:rsid w:val="00B042C8"/>
    <w:rsid w:val="00B04C89"/>
    <w:rsid w:val="00B06699"/>
    <w:rsid w:val="00B1197C"/>
    <w:rsid w:val="00B121FA"/>
    <w:rsid w:val="00B1407C"/>
    <w:rsid w:val="00B14A5B"/>
    <w:rsid w:val="00B16927"/>
    <w:rsid w:val="00B16D31"/>
    <w:rsid w:val="00B201A1"/>
    <w:rsid w:val="00B20594"/>
    <w:rsid w:val="00B2099C"/>
    <w:rsid w:val="00B215DC"/>
    <w:rsid w:val="00B22AF5"/>
    <w:rsid w:val="00B24732"/>
    <w:rsid w:val="00B260DD"/>
    <w:rsid w:val="00B26D13"/>
    <w:rsid w:val="00B26DDD"/>
    <w:rsid w:val="00B30601"/>
    <w:rsid w:val="00B3260A"/>
    <w:rsid w:val="00B32A45"/>
    <w:rsid w:val="00B34250"/>
    <w:rsid w:val="00B34590"/>
    <w:rsid w:val="00B4205A"/>
    <w:rsid w:val="00B43BBD"/>
    <w:rsid w:val="00B441C0"/>
    <w:rsid w:val="00B4474C"/>
    <w:rsid w:val="00B44F83"/>
    <w:rsid w:val="00B45E56"/>
    <w:rsid w:val="00B464D1"/>
    <w:rsid w:val="00B47099"/>
    <w:rsid w:val="00B51F3A"/>
    <w:rsid w:val="00B55641"/>
    <w:rsid w:val="00B55EE3"/>
    <w:rsid w:val="00B5741C"/>
    <w:rsid w:val="00B603BD"/>
    <w:rsid w:val="00B614D9"/>
    <w:rsid w:val="00B616D2"/>
    <w:rsid w:val="00B636AE"/>
    <w:rsid w:val="00B63C9B"/>
    <w:rsid w:val="00B640C1"/>
    <w:rsid w:val="00B64923"/>
    <w:rsid w:val="00B663CA"/>
    <w:rsid w:val="00B722B1"/>
    <w:rsid w:val="00B7289A"/>
    <w:rsid w:val="00B72998"/>
    <w:rsid w:val="00B72C2B"/>
    <w:rsid w:val="00B72E65"/>
    <w:rsid w:val="00B754B1"/>
    <w:rsid w:val="00B8110B"/>
    <w:rsid w:val="00B81320"/>
    <w:rsid w:val="00B83601"/>
    <w:rsid w:val="00B857DE"/>
    <w:rsid w:val="00B90055"/>
    <w:rsid w:val="00B92346"/>
    <w:rsid w:val="00B92B84"/>
    <w:rsid w:val="00B93C6C"/>
    <w:rsid w:val="00B94DE0"/>
    <w:rsid w:val="00B94EA3"/>
    <w:rsid w:val="00BA313B"/>
    <w:rsid w:val="00BA3745"/>
    <w:rsid w:val="00BA3999"/>
    <w:rsid w:val="00BA3C88"/>
    <w:rsid w:val="00BA5C14"/>
    <w:rsid w:val="00BA7A41"/>
    <w:rsid w:val="00BB2590"/>
    <w:rsid w:val="00BB71A4"/>
    <w:rsid w:val="00BC3021"/>
    <w:rsid w:val="00BC3AFE"/>
    <w:rsid w:val="00BC425E"/>
    <w:rsid w:val="00BC4F90"/>
    <w:rsid w:val="00BC507F"/>
    <w:rsid w:val="00BC64FB"/>
    <w:rsid w:val="00BC6A8A"/>
    <w:rsid w:val="00BC6E45"/>
    <w:rsid w:val="00BD066D"/>
    <w:rsid w:val="00BD1DE1"/>
    <w:rsid w:val="00BD3D6D"/>
    <w:rsid w:val="00BD419E"/>
    <w:rsid w:val="00BD517A"/>
    <w:rsid w:val="00BE06EA"/>
    <w:rsid w:val="00BE1F93"/>
    <w:rsid w:val="00BE2D66"/>
    <w:rsid w:val="00BE3C31"/>
    <w:rsid w:val="00BE3D57"/>
    <w:rsid w:val="00BE4D80"/>
    <w:rsid w:val="00BE7632"/>
    <w:rsid w:val="00BF07CF"/>
    <w:rsid w:val="00BF190E"/>
    <w:rsid w:val="00BF3193"/>
    <w:rsid w:val="00BF7C02"/>
    <w:rsid w:val="00C002A7"/>
    <w:rsid w:val="00C01E38"/>
    <w:rsid w:val="00C06B66"/>
    <w:rsid w:val="00C07CD3"/>
    <w:rsid w:val="00C130FB"/>
    <w:rsid w:val="00C135C7"/>
    <w:rsid w:val="00C145CB"/>
    <w:rsid w:val="00C211EF"/>
    <w:rsid w:val="00C23AFC"/>
    <w:rsid w:val="00C23EB4"/>
    <w:rsid w:val="00C2437E"/>
    <w:rsid w:val="00C25A00"/>
    <w:rsid w:val="00C26AA9"/>
    <w:rsid w:val="00C316B2"/>
    <w:rsid w:val="00C31E6C"/>
    <w:rsid w:val="00C34A63"/>
    <w:rsid w:val="00C37978"/>
    <w:rsid w:val="00C40B4C"/>
    <w:rsid w:val="00C42A78"/>
    <w:rsid w:val="00C44578"/>
    <w:rsid w:val="00C46CCF"/>
    <w:rsid w:val="00C50655"/>
    <w:rsid w:val="00C509D5"/>
    <w:rsid w:val="00C52B9B"/>
    <w:rsid w:val="00C54DB5"/>
    <w:rsid w:val="00C55AD6"/>
    <w:rsid w:val="00C57A0C"/>
    <w:rsid w:val="00C57BE9"/>
    <w:rsid w:val="00C604DB"/>
    <w:rsid w:val="00C60F6B"/>
    <w:rsid w:val="00C6192B"/>
    <w:rsid w:val="00C620F3"/>
    <w:rsid w:val="00C629B4"/>
    <w:rsid w:val="00C64774"/>
    <w:rsid w:val="00C64AD1"/>
    <w:rsid w:val="00C65081"/>
    <w:rsid w:val="00C67957"/>
    <w:rsid w:val="00C67BB7"/>
    <w:rsid w:val="00C71744"/>
    <w:rsid w:val="00C71D79"/>
    <w:rsid w:val="00C722E0"/>
    <w:rsid w:val="00C80D4B"/>
    <w:rsid w:val="00C850C0"/>
    <w:rsid w:val="00C852E1"/>
    <w:rsid w:val="00C86708"/>
    <w:rsid w:val="00C86883"/>
    <w:rsid w:val="00C8745B"/>
    <w:rsid w:val="00C9082D"/>
    <w:rsid w:val="00C912C4"/>
    <w:rsid w:val="00C91BE9"/>
    <w:rsid w:val="00C91C1E"/>
    <w:rsid w:val="00C936D8"/>
    <w:rsid w:val="00C9679F"/>
    <w:rsid w:val="00C97862"/>
    <w:rsid w:val="00CA2DD8"/>
    <w:rsid w:val="00CA59CB"/>
    <w:rsid w:val="00CA79BF"/>
    <w:rsid w:val="00CB14EB"/>
    <w:rsid w:val="00CB1B15"/>
    <w:rsid w:val="00CB3D0E"/>
    <w:rsid w:val="00CB4143"/>
    <w:rsid w:val="00CB5F54"/>
    <w:rsid w:val="00CB7473"/>
    <w:rsid w:val="00CC1E21"/>
    <w:rsid w:val="00CC4BD9"/>
    <w:rsid w:val="00CC563E"/>
    <w:rsid w:val="00CC66AB"/>
    <w:rsid w:val="00CC7F4A"/>
    <w:rsid w:val="00CD4449"/>
    <w:rsid w:val="00CD5C96"/>
    <w:rsid w:val="00CD635C"/>
    <w:rsid w:val="00CE0133"/>
    <w:rsid w:val="00CE0526"/>
    <w:rsid w:val="00CE07FF"/>
    <w:rsid w:val="00CE0FFC"/>
    <w:rsid w:val="00CE1633"/>
    <w:rsid w:val="00CE2E56"/>
    <w:rsid w:val="00CE41B0"/>
    <w:rsid w:val="00CE730E"/>
    <w:rsid w:val="00CE7666"/>
    <w:rsid w:val="00D01786"/>
    <w:rsid w:val="00D0208C"/>
    <w:rsid w:val="00D0226C"/>
    <w:rsid w:val="00D03397"/>
    <w:rsid w:val="00D06674"/>
    <w:rsid w:val="00D06F37"/>
    <w:rsid w:val="00D103DF"/>
    <w:rsid w:val="00D10ADD"/>
    <w:rsid w:val="00D1106A"/>
    <w:rsid w:val="00D112B4"/>
    <w:rsid w:val="00D12F03"/>
    <w:rsid w:val="00D14CD6"/>
    <w:rsid w:val="00D14EED"/>
    <w:rsid w:val="00D15A7C"/>
    <w:rsid w:val="00D217CF"/>
    <w:rsid w:val="00D22D24"/>
    <w:rsid w:val="00D22FCA"/>
    <w:rsid w:val="00D24D05"/>
    <w:rsid w:val="00D26AA6"/>
    <w:rsid w:val="00D33A81"/>
    <w:rsid w:val="00D3467E"/>
    <w:rsid w:val="00D40CF9"/>
    <w:rsid w:val="00D410AD"/>
    <w:rsid w:val="00D422CF"/>
    <w:rsid w:val="00D434AA"/>
    <w:rsid w:val="00D43FF2"/>
    <w:rsid w:val="00D44BB9"/>
    <w:rsid w:val="00D459E0"/>
    <w:rsid w:val="00D47D7D"/>
    <w:rsid w:val="00D51AF5"/>
    <w:rsid w:val="00D51C79"/>
    <w:rsid w:val="00D51FA1"/>
    <w:rsid w:val="00D604C3"/>
    <w:rsid w:val="00D623C9"/>
    <w:rsid w:val="00D63EB9"/>
    <w:rsid w:val="00D64F9F"/>
    <w:rsid w:val="00D6606F"/>
    <w:rsid w:val="00D66AC7"/>
    <w:rsid w:val="00D670F4"/>
    <w:rsid w:val="00D67432"/>
    <w:rsid w:val="00D67767"/>
    <w:rsid w:val="00D677B8"/>
    <w:rsid w:val="00D7642D"/>
    <w:rsid w:val="00D7692D"/>
    <w:rsid w:val="00D81EF2"/>
    <w:rsid w:val="00D836EA"/>
    <w:rsid w:val="00D858BC"/>
    <w:rsid w:val="00D8676D"/>
    <w:rsid w:val="00D8795B"/>
    <w:rsid w:val="00D87E9A"/>
    <w:rsid w:val="00D92F5B"/>
    <w:rsid w:val="00D93A46"/>
    <w:rsid w:val="00D93BC3"/>
    <w:rsid w:val="00D93D9E"/>
    <w:rsid w:val="00D97225"/>
    <w:rsid w:val="00D97260"/>
    <w:rsid w:val="00D97BEB"/>
    <w:rsid w:val="00D97E78"/>
    <w:rsid w:val="00DA0820"/>
    <w:rsid w:val="00DA283E"/>
    <w:rsid w:val="00DA4700"/>
    <w:rsid w:val="00DA5C5C"/>
    <w:rsid w:val="00DB0F59"/>
    <w:rsid w:val="00DB1947"/>
    <w:rsid w:val="00DB264A"/>
    <w:rsid w:val="00DB2D18"/>
    <w:rsid w:val="00DB3B40"/>
    <w:rsid w:val="00DB3BC4"/>
    <w:rsid w:val="00DB4044"/>
    <w:rsid w:val="00DB5B79"/>
    <w:rsid w:val="00DB64C8"/>
    <w:rsid w:val="00DC1EAA"/>
    <w:rsid w:val="00DC216B"/>
    <w:rsid w:val="00DC23AA"/>
    <w:rsid w:val="00DC252B"/>
    <w:rsid w:val="00DC3323"/>
    <w:rsid w:val="00DC5070"/>
    <w:rsid w:val="00DC5AAF"/>
    <w:rsid w:val="00DC5F24"/>
    <w:rsid w:val="00DC7D45"/>
    <w:rsid w:val="00DD0F4A"/>
    <w:rsid w:val="00DD1361"/>
    <w:rsid w:val="00DD1D47"/>
    <w:rsid w:val="00DD2C31"/>
    <w:rsid w:val="00DD2FEA"/>
    <w:rsid w:val="00DD3182"/>
    <w:rsid w:val="00DD5DCD"/>
    <w:rsid w:val="00DE373C"/>
    <w:rsid w:val="00DE3D82"/>
    <w:rsid w:val="00DE4270"/>
    <w:rsid w:val="00DE4B37"/>
    <w:rsid w:val="00DE6354"/>
    <w:rsid w:val="00DE7DCC"/>
    <w:rsid w:val="00DF081A"/>
    <w:rsid w:val="00DF18D3"/>
    <w:rsid w:val="00DF2436"/>
    <w:rsid w:val="00DF3EC7"/>
    <w:rsid w:val="00DF500C"/>
    <w:rsid w:val="00DF6F24"/>
    <w:rsid w:val="00DF76D4"/>
    <w:rsid w:val="00DF7ADE"/>
    <w:rsid w:val="00DF7DBE"/>
    <w:rsid w:val="00E005A3"/>
    <w:rsid w:val="00E02223"/>
    <w:rsid w:val="00E03CA8"/>
    <w:rsid w:val="00E03F1A"/>
    <w:rsid w:val="00E06DBA"/>
    <w:rsid w:val="00E07419"/>
    <w:rsid w:val="00E077DF"/>
    <w:rsid w:val="00E13C52"/>
    <w:rsid w:val="00E13D45"/>
    <w:rsid w:val="00E171D5"/>
    <w:rsid w:val="00E17A5B"/>
    <w:rsid w:val="00E22047"/>
    <w:rsid w:val="00E22331"/>
    <w:rsid w:val="00E24C42"/>
    <w:rsid w:val="00E25456"/>
    <w:rsid w:val="00E25EF9"/>
    <w:rsid w:val="00E2651F"/>
    <w:rsid w:val="00E347AE"/>
    <w:rsid w:val="00E35B5D"/>
    <w:rsid w:val="00E40488"/>
    <w:rsid w:val="00E44FE0"/>
    <w:rsid w:val="00E50D46"/>
    <w:rsid w:val="00E518FF"/>
    <w:rsid w:val="00E53B50"/>
    <w:rsid w:val="00E55EE4"/>
    <w:rsid w:val="00E56A53"/>
    <w:rsid w:val="00E601A6"/>
    <w:rsid w:val="00E602F6"/>
    <w:rsid w:val="00E609BB"/>
    <w:rsid w:val="00E613F3"/>
    <w:rsid w:val="00E62C11"/>
    <w:rsid w:val="00E64186"/>
    <w:rsid w:val="00E6492F"/>
    <w:rsid w:val="00E64CCE"/>
    <w:rsid w:val="00E7173E"/>
    <w:rsid w:val="00E71906"/>
    <w:rsid w:val="00E72253"/>
    <w:rsid w:val="00E74ED7"/>
    <w:rsid w:val="00E75A4E"/>
    <w:rsid w:val="00E762F5"/>
    <w:rsid w:val="00E77D08"/>
    <w:rsid w:val="00E77EF3"/>
    <w:rsid w:val="00E83B9F"/>
    <w:rsid w:val="00E86104"/>
    <w:rsid w:val="00E87F73"/>
    <w:rsid w:val="00E90785"/>
    <w:rsid w:val="00E929DE"/>
    <w:rsid w:val="00E94330"/>
    <w:rsid w:val="00E944D9"/>
    <w:rsid w:val="00E94E40"/>
    <w:rsid w:val="00EA34AC"/>
    <w:rsid w:val="00EA5F9C"/>
    <w:rsid w:val="00EA636B"/>
    <w:rsid w:val="00EA77C8"/>
    <w:rsid w:val="00EB0E70"/>
    <w:rsid w:val="00EB12F3"/>
    <w:rsid w:val="00EB3EA2"/>
    <w:rsid w:val="00EB45EE"/>
    <w:rsid w:val="00EB4F43"/>
    <w:rsid w:val="00EB579A"/>
    <w:rsid w:val="00EB6EBB"/>
    <w:rsid w:val="00EB74DF"/>
    <w:rsid w:val="00EC11B6"/>
    <w:rsid w:val="00EC2F13"/>
    <w:rsid w:val="00ED02CB"/>
    <w:rsid w:val="00ED1403"/>
    <w:rsid w:val="00ED3DB4"/>
    <w:rsid w:val="00EE0051"/>
    <w:rsid w:val="00EE3989"/>
    <w:rsid w:val="00EE5ADD"/>
    <w:rsid w:val="00EE719D"/>
    <w:rsid w:val="00EE7F37"/>
    <w:rsid w:val="00EF0AA4"/>
    <w:rsid w:val="00EF1CDF"/>
    <w:rsid w:val="00EF1E1F"/>
    <w:rsid w:val="00EF20C3"/>
    <w:rsid w:val="00EF33FC"/>
    <w:rsid w:val="00EF4FE6"/>
    <w:rsid w:val="00EF5EEE"/>
    <w:rsid w:val="00F013DD"/>
    <w:rsid w:val="00F01442"/>
    <w:rsid w:val="00F03519"/>
    <w:rsid w:val="00F07067"/>
    <w:rsid w:val="00F0725E"/>
    <w:rsid w:val="00F107D7"/>
    <w:rsid w:val="00F120E3"/>
    <w:rsid w:val="00F1219B"/>
    <w:rsid w:val="00F15778"/>
    <w:rsid w:val="00F15989"/>
    <w:rsid w:val="00F1706F"/>
    <w:rsid w:val="00F208D1"/>
    <w:rsid w:val="00F22831"/>
    <w:rsid w:val="00F334AD"/>
    <w:rsid w:val="00F36D82"/>
    <w:rsid w:val="00F465E9"/>
    <w:rsid w:val="00F50914"/>
    <w:rsid w:val="00F51747"/>
    <w:rsid w:val="00F52FEB"/>
    <w:rsid w:val="00F53184"/>
    <w:rsid w:val="00F53676"/>
    <w:rsid w:val="00F53B1F"/>
    <w:rsid w:val="00F5432D"/>
    <w:rsid w:val="00F545A9"/>
    <w:rsid w:val="00F55107"/>
    <w:rsid w:val="00F561DA"/>
    <w:rsid w:val="00F57659"/>
    <w:rsid w:val="00F5777B"/>
    <w:rsid w:val="00F613DE"/>
    <w:rsid w:val="00F6273F"/>
    <w:rsid w:val="00F62D15"/>
    <w:rsid w:val="00F62F98"/>
    <w:rsid w:val="00F63D7C"/>
    <w:rsid w:val="00F6641F"/>
    <w:rsid w:val="00F724DF"/>
    <w:rsid w:val="00F74A2D"/>
    <w:rsid w:val="00F77B31"/>
    <w:rsid w:val="00F8000A"/>
    <w:rsid w:val="00F80617"/>
    <w:rsid w:val="00F819B7"/>
    <w:rsid w:val="00F83DB5"/>
    <w:rsid w:val="00F85630"/>
    <w:rsid w:val="00F85B35"/>
    <w:rsid w:val="00F85D48"/>
    <w:rsid w:val="00F87848"/>
    <w:rsid w:val="00F901C7"/>
    <w:rsid w:val="00F91168"/>
    <w:rsid w:val="00F91193"/>
    <w:rsid w:val="00F9240D"/>
    <w:rsid w:val="00F93136"/>
    <w:rsid w:val="00F9540F"/>
    <w:rsid w:val="00F95D7C"/>
    <w:rsid w:val="00F96137"/>
    <w:rsid w:val="00FA0964"/>
    <w:rsid w:val="00FA2AE8"/>
    <w:rsid w:val="00FA2C7E"/>
    <w:rsid w:val="00FA4434"/>
    <w:rsid w:val="00FA44E3"/>
    <w:rsid w:val="00FA463C"/>
    <w:rsid w:val="00FA5B67"/>
    <w:rsid w:val="00FB058C"/>
    <w:rsid w:val="00FB2069"/>
    <w:rsid w:val="00FB348A"/>
    <w:rsid w:val="00FB4005"/>
    <w:rsid w:val="00FB40AE"/>
    <w:rsid w:val="00FB4BF6"/>
    <w:rsid w:val="00FB6BC2"/>
    <w:rsid w:val="00FC037D"/>
    <w:rsid w:val="00FC0BB3"/>
    <w:rsid w:val="00FC3B5F"/>
    <w:rsid w:val="00FC417E"/>
    <w:rsid w:val="00FC7C3B"/>
    <w:rsid w:val="00FD246A"/>
    <w:rsid w:val="00FD45F5"/>
    <w:rsid w:val="00FD793C"/>
    <w:rsid w:val="00FE0772"/>
    <w:rsid w:val="00FE6B28"/>
    <w:rsid w:val="00FE717F"/>
    <w:rsid w:val="00FF01F9"/>
    <w:rsid w:val="00FF02CE"/>
    <w:rsid w:val="00FF0BB1"/>
    <w:rsid w:val="00FF3338"/>
    <w:rsid w:val="00FF51FE"/>
    <w:rsid w:val="01093094"/>
    <w:rsid w:val="01253A58"/>
    <w:rsid w:val="015C1EA7"/>
    <w:rsid w:val="0173041C"/>
    <w:rsid w:val="01CC3850"/>
    <w:rsid w:val="02170F04"/>
    <w:rsid w:val="023F0255"/>
    <w:rsid w:val="026758D6"/>
    <w:rsid w:val="02841150"/>
    <w:rsid w:val="02877755"/>
    <w:rsid w:val="029C7E81"/>
    <w:rsid w:val="02A3532D"/>
    <w:rsid w:val="02D846B8"/>
    <w:rsid w:val="033762F3"/>
    <w:rsid w:val="03BC0544"/>
    <w:rsid w:val="03F20747"/>
    <w:rsid w:val="03F52EF1"/>
    <w:rsid w:val="04125B27"/>
    <w:rsid w:val="04405EF5"/>
    <w:rsid w:val="04CB4543"/>
    <w:rsid w:val="04D00B28"/>
    <w:rsid w:val="04D20ABE"/>
    <w:rsid w:val="04D45D7E"/>
    <w:rsid w:val="04E03234"/>
    <w:rsid w:val="04E37A71"/>
    <w:rsid w:val="05016B4B"/>
    <w:rsid w:val="051C35DB"/>
    <w:rsid w:val="051C5E70"/>
    <w:rsid w:val="05282872"/>
    <w:rsid w:val="05417DE5"/>
    <w:rsid w:val="054B2F76"/>
    <w:rsid w:val="05A723F5"/>
    <w:rsid w:val="05BD06FC"/>
    <w:rsid w:val="067316D1"/>
    <w:rsid w:val="06BC1B26"/>
    <w:rsid w:val="06C44D76"/>
    <w:rsid w:val="06CC6A93"/>
    <w:rsid w:val="06F13B3E"/>
    <w:rsid w:val="070A07A8"/>
    <w:rsid w:val="07146FB9"/>
    <w:rsid w:val="07500898"/>
    <w:rsid w:val="0761543E"/>
    <w:rsid w:val="07AB6B7C"/>
    <w:rsid w:val="07B01C17"/>
    <w:rsid w:val="07B9665C"/>
    <w:rsid w:val="081211A8"/>
    <w:rsid w:val="08141EDE"/>
    <w:rsid w:val="081960F2"/>
    <w:rsid w:val="08270E73"/>
    <w:rsid w:val="089A55A5"/>
    <w:rsid w:val="089C7FF6"/>
    <w:rsid w:val="08A15572"/>
    <w:rsid w:val="08CA7B8D"/>
    <w:rsid w:val="08D4009D"/>
    <w:rsid w:val="091D084E"/>
    <w:rsid w:val="09513B09"/>
    <w:rsid w:val="095A6032"/>
    <w:rsid w:val="09770669"/>
    <w:rsid w:val="097A2812"/>
    <w:rsid w:val="09A031B0"/>
    <w:rsid w:val="09A135F5"/>
    <w:rsid w:val="09C311AA"/>
    <w:rsid w:val="09D12390"/>
    <w:rsid w:val="09E82FB9"/>
    <w:rsid w:val="0A0559E5"/>
    <w:rsid w:val="0A1916F1"/>
    <w:rsid w:val="0A780F57"/>
    <w:rsid w:val="0A815DBA"/>
    <w:rsid w:val="0A8623F2"/>
    <w:rsid w:val="0A9415D8"/>
    <w:rsid w:val="0AB73C09"/>
    <w:rsid w:val="0ACB7E04"/>
    <w:rsid w:val="0AD61955"/>
    <w:rsid w:val="0B2F28B6"/>
    <w:rsid w:val="0B467838"/>
    <w:rsid w:val="0B5A55F4"/>
    <w:rsid w:val="0B8C77D2"/>
    <w:rsid w:val="0BD41FF2"/>
    <w:rsid w:val="0BEA010E"/>
    <w:rsid w:val="0C0A307C"/>
    <w:rsid w:val="0C0D3E03"/>
    <w:rsid w:val="0C493483"/>
    <w:rsid w:val="0C6611F3"/>
    <w:rsid w:val="0C7D50BB"/>
    <w:rsid w:val="0C8341EE"/>
    <w:rsid w:val="0CCB3EDA"/>
    <w:rsid w:val="0CF2445C"/>
    <w:rsid w:val="0D480602"/>
    <w:rsid w:val="0D6D7947"/>
    <w:rsid w:val="0DCF16A0"/>
    <w:rsid w:val="0E1952BC"/>
    <w:rsid w:val="0E7320F2"/>
    <w:rsid w:val="0E7E0622"/>
    <w:rsid w:val="0EAC613E"/>
    <w:rsid w:val="0EEB1260"/>
    <w:rsid w:val="0F025425"/>
    <w:rsid w:val="0F12677D"/>
    <w:rsid w:val="0F216B35"/>
    <w:rsid w:val="0F261512"/>
    <w:rsid w:val="0F4E7B7D"/>
    <w:rsid w:val="0F8333F8"/>
    <w:rsid w:val="0F861837"/>
    <w:rsid w:val="0F8A693D"/>
    <w:rsid w:val="0FB50E3E"/>
    <w:rsid w:val="0FBB3AFC"/>
    <w:rsid w:val="0FCA58C9"/>
    <w:rsid w:val="10055EF5"/>
    <w:rsid w:val="103F0EA7"/>
    <w:rsid w:val="10502355"/>
    <w:rsid w:val="10540347"/>
    <w:rsid w:val="1090662E"/>
    <w:rsid w:val="10AD401D"/>
    <w:rsid w:val="10B74A66"/>
    <w:rsid w:val="10CC6361"/>
    <w:rsid w:val="110747F6"/>
    <w:rsid w:val="110E4669"/>
    <w:rsid w:val="11130439"/>
    <w:rsid w:val="116D3136"/>
    <w:rsid w:val="1175763D"/>
    <w:rsid w:val="117F7F8E"/>
    <w:rsid w:val="11A55ACF"/>
    <w:rsid w:val="11FA2E6A"/>
    <w:rsid w:val="127048CC"/>
    <w:rsid w:val="12C00896"/>
    <w:rsid w:val="12C36682"/>
    <w:rsid w:val="130F1CE4"/>
    <w:rsid w:val="13102457"/>
    <w:rsid w:val="13342BF5"/>
    <w:rsid w:val="133F55CE"/>
    <w:rsid w:val="13492DF1"/>
    <w:rsid w:val="136C023C"/>
    <w:rsid w:val="137C6C33"/>
    <w:rsid w:val="13821925"/>
    <w:rsid w:val="138D7A19"/>
    <w:rsid w:val="13C77161"/>
    <w:rsid w:val="13C95AD6"/>
    <w:rsid w:val="13CA2691"/>
    <w:rsid w:val="13E32FD7"/>
    <w:rsid w:val="13F62AE5"/>
    <w:rsid w:val="14491299"/>
    <w:rsid w:val="14771D1F"/>
    <w:rsid w:val="14781C3E"/>
    <w:rsid w:val="14B04A39"/>
    <w:rsid w:val="150A0B95"/>
    <w:rsid w:val="151911FF"/>
    <w:rsid w:val="15522CFE"/>
    <w:rsid w:val="155A1811"/>
    <w:rsid w:val="158912D9"/>
    <w:rsid w:val="15950AE6"/>
    <w:rsid w:val="15CF24FE"/>
    <w:rsid w:val="15E203D9"/>
    <w:rsid w:val="15F97213"/>
    <w:rsid w:val="16195F04"/>
    <w:rsid w:val="162D28E7"/>
    <w:rsid w:val="167353EE"/>
    <w:rsid w:val="167D6055"/>
    <w:rsid w:val="16842433"/>
    <w:rsid w:val="16AC14FD"/>
    <w:rsid w:val="16AE0E93"/>
    <w:rsid w:val="16DE6A2A"/>
    <w:rsid w:val="16F07805"/>
    <w:rsid w:val="16F70F8B"/>
    <w:rsid w:val="16FF0BEB"/>
    <w:rsid w:val="173F3419"/>
    <w:rsid w:val="17563899"/>
    <w:rsid w:val="17740C91"/>
    <w:rsid w:val="17A2449F"/>
    <w:rsid w:val="17D85FF5"/>
    <w:rsid w:val="17E402DB"/>
    <w:rsid w:val="180C3E98"/>
    <w:rsid w:val="183B3FDA"/>
    <w:rsid w:val="18571B64"/>
    <w:rsid w:val="18582F89"/>
    <w:rsid w:val="18692D27"/>
    <w:rsid w:val="186A4A32"/>
    <w:rsid w:val="18BB18BB"/>
    <w:rsid w:val="18D90919"/>
    <w:rsid w:val="18ED62A9"/>
    <w:rsid w:val="192E42A2"/>
    <w:rsid w:val="197741B7"/>
    <w:rsid w:val="1A00166C"/>
    <w:rsid w:val="1A013743"/>
    <w:rsid w:val="1A1B6C8F"/>
    <w:rsid w:val="1A237B29"/>
    <w:rsid w:val="1A695BEB"/>
    <w:rsid w:val="1A6C298A"/>
    <w:rsid w:val="1A870A58"/>
    <w:rsid w:val="1AA716C7"/>
    <w:rsid w:val="1AAE4418"/>
    <w:rsid w:val="1AE45887"/>
    <w:rsid w:val="1B136731"/>
    <w:rsid w:val="1B1A6FFF"/>
    <w:rsid w:val="1BAC38B5"/>
    <w:rsid w:val="1C27399A"/>
    <w:rsid w:val="1C282CD6"/>
    <w:rsid w:val="1C474804"/>
    <w:rsid w:val="1C4E4039"/>
    <w:rsid w:val="1C5419D0"/>
    <w:rsid w:val="1C5E47D1"/>
    <w:rsid w:val="1C8B093C"/>
    <w:rsid w:val="1CA405B7"/>
    <w:rsid w:val="1CB417BD"/>
    <w:rsid w:val="1CD65E9E"/>
    <w:rsid w:val="1CDA474F"/>
    <w:rsid w:val="1CF833B3"/>
    <w:rsid w:val="1CFC0397"/>
    <w:rsid w:val="1D063103"/>
    <w:rsid w:val="1D073C31"/>
    <w:rsid w:val="1D241C7A"/>
    <w:rsid w:val="1D3665B6"/>
    <w:rsid w:val="1D4B55DD"/>
    <w:rsid w:val="1D737B26"/>
    <w:rsid w:val="1D7D241B"/>
    <w:rsid w:val="1D7F06FC"/>
    <w:rsid w:val="1D93056A"/>
    <w:rsid w:val="1D981EFB"/>
    <w:rsid w:val="1DA26C86"/>
    <w:rsid w:val="1DB9636F"/>
    <w:rsid w:val="1DE12999"/>
    <w:rsid w:val="1DE228C8"/>
    <w:rsid w:val="1DE37399"/>
    <w:rsid w:val="1DEB09C4"/>
    <w:rsid w:val="1E15454F"/>
    <w:rsid w:val="1E6C5A32"/>
    <w:rsid w:val="1E754C45"/>
    <w:rsid w:val="1E8813DC"/>
    <w:rsid w:val="1E92490C"/>
    <w:rsid w:val="1E9453C1"/>
    <w:rsid w:val="1E996AAA"/>
    <w:rsid w:val="1ED05424"/>
    <w:rsid w:val="1EF10808"/>
    <w:rsid w:val="1EF641AA"/>
    <w:rsid w:val="1F761DFB"/>
    <w:rsid w:val="1F8120B0"/>
    <w:rsid w:val="1F9808F2"/>
    <w:rsid w:val="1FA73982"/>
    <w:rsid w:val="1FB06431"/>
    <w:rsid w:val="1FC4726F"/>
    <w:rsid w:val="1FDF69A1"/>
    <w:rsid w:val="200B2803"/>
    <w:rsid w:val="200F3E56"/>
    <w:rsid w:val="203E252B"/>
    <w:rsid w:val="20437D8D"/>
    <w:rsid w:val="20934F37"/>
    <w:rsid w:val="209D6AB6"/>
    <w:rsid w:val="20C435A3"/>
    <w:rsid w:val="20CD00EC"/>
    <w:rsid w:val="21327E91"/>
    <w:rsid w:val="215965D0"/>
    <w:rsid w:val="2171044D"/>
    <w:rsid w:val="21C504E5"/>
    <w:rsid w:val="221C1470"/>
    <w:rsid w:val="223023CA"/>
    <w:rsid w:val="229F3643"/>
    <w:rsid w:val="22BE7821"/>
    <w:rsid w:val="22C23037"/>
    <w:rsid w:val="22C77B06"/>
    <w:rsid w:val="22CA2100"/>
    <w:rsid w:val="22DD7BC5"/>
    <w:rsid w:val="22E75635"/>
    <w:rsid w:val="23021ACF"/>
    <w:rsid w:val="230304E2"/>
    <w:rsid w:val="23190FEE"/>
    <w:rsid w:val="233E4C74"/>
    <w:rsid w:val="235468EF"/>
    <w:rsid w:val="23760E14"/>
    <w:rsid w:val="23774605"/>
    <w:rsid w:val="23A9776E"/>
    <w:rsid w:val="23AC0865"/>
    <w:rsid w:val="24493731"/>
    <w:rsid w:val="24640CB9"/>
    <w:rsid w:val="2468321F"/>
    <w:rsid w:val="2469252F"/>
    <w:rsid w:val="2469715E"/>
    <w:rsid w:val="24A32E92"/>
    <w:rsid w:val="24CA6EB1"/>
    <w:rsid w:val="24D208AD"/>
    <w:rsid w:val="24F62B7C"/>
    <w:rsid w:val="24FC1CF3"/>
    <w:rsid w:val="254472C5"/>
    <w:rsid w:val="2548256C"/>
    <w:rsid w:val="25487065"/>
    <w:rsid w:val="2564150A"/>
    <w:rsid w:val="25685AA0"/>
    <w:rsid w:val="256F72AC"/>
    <w:rsid w:val="2577528F"/>
    <w:rsid w:val="257C6B21"/>
    <w:rsid w:val="257D310E"/>
    <w:rsid w:val="257F2ACE"/>
    <w:rsid w:val="258958EB"/>
    <w:rsid w:val="258F066F"/>
    <w:rsid w:val="25974A07"/>
    <w:rsid w:val="25AC6510"/>
    <w:rsid w:val="25D92964"/>
    <w:rsid w:val="25E24B11"/>
    <w:rsid w:val="25F46178"/>
    <w:rsid w:val="26531E3A"/>
    <w:rsid w:val="26B618DB"/>
    <w:rsid w:val="26F22AC6"/>
    <w:rsid w:val="27225A1D"/>
    <w:rsid w:val="272E4CD8"/>
    <w:rsid w:val="273A4B5D"/>
    <w:rsid w:val="275664D1"/>
    <w:rsid w:val="275E2B1F"/>
    <w:rsid w:val="27AC2A2D"/>
    <w:rsid w:val="27D318DA"/>
    <w:rsid w:val="27DD2494"/>
    <w:rsid w:val="283E3920"/>
    <w:rsid w:val="284B4E64"/>
    <w:rsid w:val="2851175C"/>
    <w:rsid w:val="285A6ADF"/>
    <w:rsid w:val="285E7DC9"/>
    <w:rsid w:val="286F1240"/>
    <w:rsid w:val="288975F4"/>
    <w:rsid w:val="28975FA7"/>
    <w:rsid w:val="289A1E31"/>
    <w:rsid w:val="28E22C4F"/>
    <w:rsid w:val="294F6AB7"/>
    <w:rsid w:val="295D3161"/>
    <w:rsid w:val="29721B8C"/>
    <w:rsid w:val="297C04D8"/>
    <w:rsid w:val="299D6330"/>
    <w:rsid w:val="29A90AEF"/>
    <w:rsid w:val="29DC0CC4"/>
    <w:rsid w:val="29F54ECF"/>
    <w:rsid w:val="2A1467A4"/>
    <w:rsid w:val="2A4A6748"/>
    <w:rsid w:val="2A7943AA"/>
    <w:rsid w:val="2A7D0064"/>
    <w:rsid w:val="2AB743BD"/>
    <w:rsid w:val="2AE44F75"/>
    <w:rsid w:val="2AFE60ED"/>
    <w:rsid w:val="2B011741"/>
    <w:rsid w:val="2B0F4F64"/>
    <w:rsid w:val="2B350B31"/>
    <w:rsid w:val="2B5255F1"/>
    <w:rsid w:val="2B71643B"/>
    <w:rsid w:val="2BBC4FF0"/>
    <w:rsid w:val="2BC453CE"/>
    <w:rsid w:val="2BDA3937"/>
    <w:rsid w:val="2BE13DE9"/>
    <w:rsid w:val="2BF34443"/>
    <w:rsid w:val="2BFB3A47"/>
    <w:rsid w:val="2C105004"/>
    <w:rsid w:val="2C455EAE"/>
    <w:rsid w:val="2C711977"/>
    <w:rsid w:val="2CA07818"/>
    <w:rsid w:val="2CC67300"/>
    <w:rsid w:val="2CD8555D"/>
    <w:rsid w:val="2D785C86"/>
    <w:rsid w:val="2DF205DC"/>
    <w:rsid w:val="2DF65358"/>
    <w:rsid w:val="2E2D7615"/>
    <w:rsid w:val="2E3B2857"/>
    <w:rsid w:val="2E6179A8"/>
    <w:rsid w:val="2EB36E2A"/>
    <w:rsid w:val="2EF27C82"/>
    <w:rsid w:val="2F08136C"/>
    <w:rsid w:val="2F12698E"/>
    <w:rsid w:val="2F13157D"/>
    <w:rsid w:val="2F714B28"/>
    <w:rsid w:val="2FFD1157"/>
    <w:rsid w:val="302D7407"/>
    <w:rsid w:val="30436462"/>
    <w:rsid w:val="305F14D4"/>
    <w:rsid w:val="30723C47"/>
    <w:rsid w:val="3076754F"/>
    <w:rsid w:val="30952E40"/>
    <w:rsid w:val="30A15BF6"/>
    <w:rsid w:val="30B32D1D"/>
    <w:rsid w:val="30C9307E"/>
    <w:rsid w:val="30E62C86"/>
    <w:rsid w:val="30F26E62"/>
    <w:rsid w:val="31084B1B"/>
    <w:rsid w:val="312B63FB"/>
    <w:rsid w:val="31764E0B"/>
    <w:rsid w:val="31771A3C"/>
    <w:rsid w:val="319B1F1B"/>
    <w:rsid w:val="319C2CCB"/>
    <w:rsid w:val="31A25D06"/>
    <w:rsid w:val="31BA2245"/>
    <w:rsid w:val="31E12341"/>
    <w:rsid w:val="32104C3B"/>
    <w:rsid w:val="3215201F"/>
    <w:rsid w:val="323A109A"/>
    <w:rsid w:val="32533064"/>
    <w:rsid w:val="326A1568"/>
    <w:rsid w:val="326A15DE"/>
    <w:rsid w:val="32B6572F"/>
    <w:rsid w:val="32E85044"/>
    <w:rsid w:val="33073AC3"/>
    <w:rsid w:val="33292C1B"/>
    <w:rsid w:val="332B6F38"/>
    <w:rsid w:val="33536ADA"/>
    <w:rsid w:val="33675085"/>
    <w:rsid w:val="33A77204"/>
    <w:rsid w:val="33CC508C"/>
    <w:rsid w:val="33D9634E"/>
    <w:rsid w:val="34257196"/>
    <w:rsid w:val="34293645"/>
    <w:rsid w:val="34743454"/>
    <w:rsid w:val="34757E10"/>
    <w:rsid w:val="34801A35"/>
    <w:rsid w:val="34A1798B"/>
    <w:rsid w:val="34BF3ADB"/>
    <w:rsid w:val="34C6280F"/>
    <w:rsid w:val="34D43A2F"/>
    <w:rsid w:val="34E3562D"/>
    <w:rsid w:val="34E94BC5"/>
    <w:rsid w:val="3503123D"/>
    <w:rsid w:val="350C5EB2"/>
    <w:rsid w:val="351E5E64"/>
    <w:rsid w:val="353F036E"/>
    <w:rsid w:val="35491CE2"/>
    <w:rsid w:val="355F4577"/>
    <w:rsid w:val="356E1C04"/>
    <w:rsid w:val="35A94589"/>
    <w:rsid w:val="35C46184"/>
    <w:rsid w:val="3601599D"/>
    <w:rsid w:val="360C2556"/>
    <w:rsid w:val="36241472"/>
    <w:rsid w:val="36617AF8"/>
    <w:rsid w:val="366C7495"/>
    <w:rsid w:val="36C85B26"/>
    <w:rsid w:val="36D04C53"/>
    <w:rsid w:val="36D660CB"/>
    <w:rsid w:val="36DF4A1B"/>
    <w:rsid w:val="36F144CC"/>
    <w:rsid w:val="37195DB9"/>
    <w:rsid w:val="375F6EFD"/>
    <w:rsid w:val="377B79E7"/>
    <w:rsid w:val="377E5A5C"/>
    <w:rsid w:val="37C82110"/>
    <w:rsid w:val="381F4724"/>
    <w:rsid w:val="38204594"/>
    <w:rsid w:val="384D73F5"/>
    <w:rsid w:val="386D4174"/>
    <w:rsid w:val="38795F87"/>
    <w:rsid w:val="38A867C4"/>
    <w:rsid w:val="39135739"/>
    <w:rsid w:val="391809B2"/>
    <w:rsid w:val="391E6DF8"/>
    <w:rsid w:val="393E5D1C"/>
    <w:rsid w:val="394B6B79"/>
    <w:rsid w:val="39691AEB"/>
    <w:rsid w:val="396D6505"/>
    <w:rsid w:val="39753155"/>
    <w:rsid w:val="398307FD"/>
    <w:rsid w:val="39907AAC"/>
    <w:rsid w:val="39A37EB6"/>
    <w:rsid w:val="39C90006"/>
    <w:rsid w:val="3A0F502D"/>
    <w:rsid w:val="3A1520AD"/>
    <w:rsid w:val="3A3304AA"/>
    <w:rsid w:val="3A3753CE"/>
    <w:rsid w:val="3A446DA1"/>
    <w:rsid w:val="3A83019C"/>
    <w:rsid w:val="3A9F29F4"/>
    <w:rsid w:val="3B0A2731"/>
    <w:rsid w:val="3B2A61EE"/>
    <w:rsid w:val="3B3F19E6"/>
    <w:rsid w:val="3B6349B3"/>
    <w:rsid w:val="3B684717"/>
    <w:rsid w:val="3B8D590D"/>
    <w:rsid w:val="3BA74E0E"/>
    <w:rsid w:val="3C7562BD"/>
    <w:rsid w:val="3D0D24B8"/>
    <w:rsid w:val="3D11266F"/>
    <w:rsid w:val="3D136A16"/>
    <w:rsid w:val="3D2C588C"/>
    <w:rsid w:val="3D5003FE"/>
    <w:rsid w:val="3D56348B"/>
    <w:rsid w:val="3D7B50C8"/>
    <w:rsid w:val="3DBF2006"/>
    <w:rsid w:val="3DC3308C"/>
    <w:rsid w:val="3DD4459B"/>
    <w:rsid w:val="3E081F45"/>
    <w:rsid w:val="3E0F1B8D"/>
    <w:rsid w:val="3E1174EB"/>
    <w:rsid w:val="3E1575FC"/>
    <w:rsid w:val="3E600EEA"/>
    <w:rsid w:val="3E8227B1"/>
    <w:rsid w:val="3ED03E60"/>
    <w:rsid w:val="3EFD03E1"/>
    <w:rsid w:val="3F0547C8"/>
    <w:rsid w:val="3F5C3CFE"/>
    <w:rsid w:val="40252361"/>
    <w:rsid w:val="403806FB"/>
    <w:rsid w:val="408F7BE9"/>
    <w:rsid w:val="40A54AB0"/>
    <w:rsid w:val="40E242A4"/>
    <w:rsid w:val="40F95367"/>
    <w:rsid w:val="41283344"/>
    <w:rsid w:val="412958F0"/>
    <w:rsid w:val="4131626E"/>
    <w:rsid w:val="413E3BE9"/>
    <w:rsid w:val="41441D80"/>
    <w:rsid w:val="415418A0"/>
    <w:rsid w:val="415F1CA3"/>
    <w:rsid w:val="415F22D9"/>
    <w:rsid w:val="41767D68"/>
    <w:rsid w:val="417809AD"/>
    <w:rsid w:val="41781113"/>
    <w:rsid w:val="418F00ED"/>
    <w:rsid w:val="41B32D24"/>
    <w:rsid w:val="41C23A1B"/>
    <w:rsid w:val="41DA317B"/>
    <w:rsid w:val="4205353D"/>
    <w:rsid w:val="420B1256"/>
    <w:rsid w:val="42163FD8"/>
    <w:rsid w:val="421B261C"/>
    <w:rsid w:val="422043FE"/>
    <w:rsid w:val="42232391"/>
    <w:rsid w:val="424B00CF"/>
    <w:rsid w:val="426564D2"/>
    <w:rsid w:val="4266190C"/>
    <w:rsid w:val="428B4A28"/>
    <w:rsid w:val="42C57B2B"/>
    <w:rsid w:val="42CB44F9"/>
    <w:rsid w:val="42D13CE2"/>
    <w:rsid w:val="42E52AC3"/>
    <w:rsid w:val="430F7784"/>
    <w:rsid w:val="4336626D"/>
    <w:rsid w:val="433F700B"/>
    <w:rsid w:val="434332BA"/>
    <w:rsid w:val="435026FB"/>
    <w:rsid w:val="4377227D"/>
    <w:rsid w:val="437D31DB"/>
    <w:rsid w:val="438B6421"/>
    <w:rsid w:val="43A53CD0"/>
    <w:rsid w:val="43E9301B"/>
    <w:rsid w:val="43FA1D03"/>
    <w:rsid w:val="440A24DB"/>
    <w:rsid w:val="44441B3A"/>
    <w:rsid w:val="44474BF7"/>
    <w:rsid w:val="446823E9"/>
    <w:rsid w:val="4474548A"/>
    <w:rsid w:val="447471F9"/>
    <w:rsid w:val="449640ED"/>
    <w:rsid w:val="44BB7070"/>
    <w:rsid w:val="450B0C2A"/>
    <w:rsid w:val="453E2A26"/>
    <w:rsid w:val="454B42E2"/>
    <w:rsid w:val="455F61C3"/>
    <w:rsid w:val="45607C7F"/>
    <w:rsid w:val="456127CB"/>
    <w:rsid w:val="45EF749E"/>
    <w:rsid w:val="46260860"/>
    <w:rsid w:val="462C5FEC"/>
    <w:rsid w:val="4669139F"/>
    <w:rsid w:val="46703085"/>
    <w:rsid w:val="46874842"/>
    <w:rsid w:val="469357CE"/>
    <w:rsid w:val="46BD1376"/>
    <w:rsid w:val="46C17974"/>
    <w:rsid w:val="46E40E1C"/>
    <w:rsid w:val="46FD6335"/>
    <w:rsid w:val="478B1873"/>
    <w:rsid w:val="478F7DF9"/>
    <w:rsid w:val="47BE348C"/>
    <w:rsid w:val="47CC2983"/>
    <w:rsid w:val="47FC5F3B"/>
    <w:rsid w:val="48787A87"/>
    <w:rsid w:val="488A7C8E"/>
    <w:rsid w:val="488D5D3C"/>
    <w:rsid w:val="48D97B58"/>
    <w:rsid w:val="48FF663E"/>
    <w:rsid w:val="490304DF"/>
    <w:rsid w:val="49055532"/>
    <w:rsid w:val="490A2024"/>
    <w:rsid w:val="493267A8"/>
    <w:rsid w:val="493B230D"/>
    <w:rsid w:val="49680FEE"/>
    <w:rsid w:val="49790F2B"/>
    <w:rsid w:val="497E6D80"/>
    <w:rsid w:val="49AF0D44"/>
    <w:rsid w:val="49DB62C6"/>
    <w:rsid w:val="49FD450A"/>
    <w:rsid w:val="4A456D39"/>
    <w:rsid w:val="4A712F7B"/>
    <w:rsid w:val="4A8052EA"/>
    <w:rsid w:val="4A897EB9"/>
    <w:rsid w:val="4A951138"/>
    <w:rsid w:val="4AA310AB"/>
    <w:rsid w:val="4ACB31A4"/>
    <w:rsid w:val="4ADC5319"/>
    <w:rsid w:val="4AED40D2"/>
    <w:rsid w:val="4AF126EA"/>
    <w:rsid w:val="4AFF4E62"/>
    <w:rsid w:val="4B470987"/>
    <w:rsid w:val="4B541187"/>
    <w:rsid w:val="4B5C5634"/>
    <w:rsid w:val="4B6D10A7"/>
    <w:rsid w:val="4B7618A9"/>
    <w:rsid w:val="4B813A57"/>
    <w:rsid w:val="4B9B6ED4"/>
    <w:rsid w:val="4B9E0558"/>
    <w:rsid w:val="4BA7151A"/>
    <w:rsid w:val="4BBF65BA"/>
    <w:rsid w:val="4BCC0A1A"/>
    <w:rsid w:val="4BD227F5"/>
    <w:rsid w:val="4BD90E6B"/>
    <w:rsid w:val="4BFE0A8E"/>
    <w:rsid w:val="4C0E0FCC"/>
    <w:rsid w:val="4C3972B3"/>
    <w:rsid w:val="4C852E60"/>
    <w:rsid w:val="4CE65EAE"/>
    <w:rsid w:val="4CF9171F"/>
    <w:rsid w:val="4D8E2A8B"/>
    <w:rsid w:val="4E101F09"/>
    <w:rsid w:val="4E2E64C4"/>
    <w:rsid w:val="4E2F0BB5"/>
    <w:rsid w:val="4E6A6D89"/>
    <w:rsid w:val="4E6B582B"/>
    <w:rsid w:val="4E7754F5"/>
    <w:rsid w:val="4E8D0EF4"/>
    <w:rsid w:val="4E8F6EB0"/>
    <w:rsid w:val="4E9D4D5C"/>
    <w:rsid w:val="4EC01F3B"/>
    <w:rsid w:val="4EC62584"/>
    <w:rsid w:val="4ED07AEA"/>
    <w:rsid w:val="4EE22A8E"/>
    <w:rsid w:val="4EEA3167"/>
    <w:rsid w:val="4F2D63CF"/>
    <w:rsid w:val="4F5132E8"/>
    <w:rsid w:val="4F545795"/>
    <w:rsid w:val="4F752A94"/>
    <w:rsid w:val="4F806DF9"/>
    <w:rsid w:val="4F820BE5"/>
    <w:rsid w:val="4F932BC0"/>
    <w:rsid w:val="4FA65500"/>
    <w:rsid w:val="4FB70577"/>
    <w:rsid w:val="4FC86A0D"/>
    <w:rsid w:val="50377F53"/>
    <w:rsid w:val="5071702E"/>
    <w:rsid w:val="5073611E"/>
    <w:rsid w:val="507A46C0"/>
    <w:rsid w:val="508844FD"/>
    <w:rsid w:val="509632A3"/>
    <w:rsid w:val="50A10BB7"/>
    <w:rsid w:val="50E30108"/>
    <w:rsid w:val="511167FA"/>
    <w:rsid w:val="51954873"/>
    <w:rsid w:val="51C65A3F"/>
    <w:rsid w:val="51D64B7F"/>
    <w:rsid w:val="51F120B4"/>
    <w:rsid w:val="51FF57F8"/>
    <w:rsid w:val="52023C98"/>
    <w:rsid w:val="522E2C98"/>
    <w:rsid w:val="5231029C"/>
    <w:rsid w:val="524F733F"/>
    <w:rsid w:val="52A81CF9"/>
    <w:rsid w:val="52B3037B"/>
    <w:rsid w:val="52CE1C16"/>
    <w:rsid w:val="52EC647F"/>
    <w:rsid w:val="52F63EB4"/>
    <w:rsid w:val="52F81B12"/>
    <w:rsid w:val="537D7B44"/>
    <w:rsid w:val="538D06C9"/>
    <w:rsid w:val="53AE5515"/>
    <w:rsid w:val="53B72BCB"/>
    <w:rsid w:val="53B82E3B"/>
    <w:rsid w:val="53D65177"/>
    <w:rsid w:val="53E71174"/>
    <w:rsid w:val="53FE4C00"/>
    <w:rsid w:val="54165510"/>
    <w:rsid w:val="5425588F"/>
    <w:rsid w:val="543958FD"/>
    <w:rsid w:val="546A7902"/>
    <w:rsid w:val="547C301F"/>
    <w:rsid w:val="547E1D20"/>
    <w:rsid w:val="549C5E08"/>
    <w:rsid w:val="54D700BD"/>
    <w:rsid w:val="54DF2167"/>
    <w:rsid w:val="54F751FF"/>
    <w:rsid w:val="550917C5"/>
    <w:rsid w:val="551201C2"/>
    <w:rsid w:val="551A2D47"/>
    <w:rsid w:val="55455F2E"/>
    <w:rsid w:val="555417A1"/>
    <w:rsid w:val="556B1F3B"/>
    <w:rsid w:val="55793256"/>
    <w:rsid w:val="562F5C72"/>
    <w:rsid w:val="563D1E2F"/>
    <w:rsid w:val="56403824"/>
    <w:rsid w:val="56563C96"/>
    <w:rsid w:val="565D7A10"/>
    <w:rsid w:val="565E2001"/>
    <w:rsid w:val="56606E5E"/>
    <w:rsid w:val="569B7E68"/>
    <w:rsid w:val="56A4180F"/>
    <w:rsid w:val="56D71BFE"/>
    <w:rsid w:val="56E24FFD"/>
    <w:rsid w:val="56FC146C"/>
    <w:rsid w:val="572509D0"/>
    <w:rsid w:val="5728257C"/>
    <w:rsid w:val="57296884"/>
    <w:rsid w:val="57314E61"/>
    <w:rsid w:val="578C1655"/>
    <w:rsid w:val="57A53523"/>
    <w:rsid w:val="57B419C5"/>
    <w:rsid w:val="57D77871"/>
    <w:rsid w:val="57DA35CF"/>
    <w:rsid w:val="57F4473E"/>
    <w:rsid w:val="58011F05"/>
    <w:rsid w:val="580744A0"/>
    <w:rsid w:val="581D1794"/>
    <w:rsid w:val="582969A3"/>
    <w:rsid w:val="587E3ECA"/>
    <w:rsid w:val="58CF2C0B"/>
    <w:rsid w:val="58D0727B"/>
    <w:rsid w:val="58ED5445"/>
    <w:rsid w:val="590F47E9"/>
    <w:rsid w:val="5910472A"/>
    <w:rsid w:val="59240255"/>
    <w:rsid w:val="593C66D3"/>
    <w:rsid w:val="594F105A"/>
    <w:rsid w:val="597100A0"/>
    <w:rsid w:val="598A652B"/>
    <w:rsid w:val="5A3E00F6"/>
    <w:rsid w:val="5A674ACB"/>
    <w:rsid w:val="5A8D0101"/>
    <w:rsid w:val="5A906833"/>
    <w:rsid w:val="5A9C7662"/>
    <w:rsid w:val="5AAB4460"/>
    <w:rsid w:val="5AD3461D"/>
    <w:rsid w:val="5AF5255D"/>
    <w:rsid w:val="5AFA7B90"/>
    <w:rsid w:val="5B115FDA"/>
    <w:rsid w:val="5B47159C"/>
    <w:rsid w:val="5B732F3A"/>
    <w:rsid w:val="5B754949"/>
    <w:rsid w:val="5B881DBB"/>
    <w:rsid w:val="5C0D79E0"/>
    <w:rsid w:val="5C2A0D26"/>
    <w:rsid w:val="5C2A6DA9"/>
    <w:rsid w:val="5C9215FD"/>
    <w:rsid w:val="5CB15350"/>
    <w:rsid w:val="5CBF2D42"/>
    <w:rsid w:val="5CC47037"/>
    <w:rsid w:val="5CD221AD"/>
    <w:rsid w:val="5CE03063"/>
    <w:rsid w:val="5D894968"/>
    <w:rsid w:val="5D8B5D2E"/>
    <w:rsid w:val="5DAB67F7"/>
    <w:rsid w:val="5DD255A0"/>
    <w:rsid w:val="5DEA037E"/>
    <w:rsid w:val="5DEF751F"/>
    <w:rsid w:val="5E4E5084"/>
    <w:rsid w:val="5E6B6FAB"/>
    <w:rsid w:val="5E6D4DC5"/>
    <w:rsid w:val="5E9B05B8"/>
    <w:rsid w:val="5E9C3FBF"/>
    <w:rsid w:val="5ED62129"/>
    <w:rsid w:val="5EFC682C"/>
    <w:rsid w:val="5F062457"/>
    <w:rsid w:val="5F592307"/>
    <w:rsid w:val="5F93194C"/>
    <w:rsid w:val="5FA63FCE"/>
    <w:rsid w:val="5FAA3DC6"/>
    <w:rsid w:val="5FBD5F95"/>
    <w:rsid w:val="5FE24514"/>
    <w:rsid w:val="60113815"/>
    <w:rsid w:val="60204357"/>
    <w:rsid w:val="603F078E"/>
    <w:rsid w:val="60442F69"/>
    <w:rsid w:val="60812AD7"/>
    <w:rsid w:val="60890B82"/>
    <w:rsid w:val="608C2825"/>
    <w:rsid w:val="60A96567"/>
    <w:rsid w:val="60C1254E"/>
    <w:rsid w:val="60CA48DB"/>
    <w:rsid w:val="60E04EF3"/>
    <w:rsid w:val="6106368E"/>
    <w:rsid w:val="612A76B1"/>
    <w:rsid w:val="612E1B21"/>
    <w:rsid w:val="614A470D"/>
    <w:rsid w:val="618F036B"/>
    <w:rsid w:val="61CF6B35"/>
    <w:rsid w:val="61DD086C"/>
    <w:rsid w:val="620F0813"/>
    <w:rsid w:val="621073B2"/>
    <w:rsid w:val="62235FFE"/>
    <w:rsid w:val="625253AF"/>
    <w:rsid w:val="62591D4E"/>
    <w:rsid w:val="62726749"/>
    <w:rsid w:val="627523C2"/>
    <w:rsid w:val="630F7FAC"/>
    <w:rsid w:val="631C7B86"/>
    <w:rsid w:val="63363081"/>
    <w:rsid w:val="6348539B"/>
    <w:rsid w:val="63657AEE"/>
    <w:rsid w:val="638228CE"/>
    <w:rsid w:val="63A82C75"/>
    <w:rsid w:val="63AC1574"/>
    <w:rsid w:val="63B22EA9"/>
    <w:rsid w:val="64030869"/>
    <w:rsid w:val="643F1880"/>
    <w:rsid w:val="64653C66"/>
    <w:rsid w:val="646B3E19"/>
    <w:rsid w:val="64A236B1"/>
    <w:rsid w:val="64A646F3"/>
    <w:rsid w:val="6500422E"/>
    <w:rsid w:val="650E3AB5"/>
    <w:rsid w:val="6536267B"/>
    <w:rsid w:val="65392F75"/>
    <w:rsid w:val="654D5DA7"/>
    <w:rsid w:val="6570329B"/>
    <w:rsid w:val="65ED7C29"/>
    <w:rsid w:val="661A13D3"/>
    <w:rsid w:val="66423C4D"/>
    <w:rsid w:val="66472D88"/>
    <w:rsid w:val="664849A0"/>
    <w:rsid w:val="66670930"/>
    <w:rsid w:val="66712D88"/>
    <w:rsid w:val="667D5922"/>
    <w:rsid w:val="66AC7226"/>
    <w:rsid w:val="66C32BB3"/>
    <w:rsid w:val="66D950DB"/>
    <w:rsid w:val="66DF3A90"/>
    <w:rsid w:val="670B6845"/>
    <w:rsid w:val="67264A81"/>
    <w:rsid w:val="6742656A"/>
    <w:rsid w:val="674A54B3"/>
    <w:rsid w:val="675271F7"/>
    <w:rsid w:val="675B31DA"/>
    <w:rsid w:val="67826901"/>
    <w:rsid w:val="679B6DEE"/>
    <w:rsid w:val="67A36101"/>
    <w:rsid w:val="682062E8"/>
    <w:rsid w:val="68214FE7"/>
    <w:rsid w:val="682818D7"/>
    <w:rsid w:val="683E4BF5"/>
    <w:rsid w:val="687D3E06"/>
    <w:rsid w:val="68852E1C"/>
    <w:rsid w:val="689E5D80"/>
    <w:rsid w:val="69600980"/>
    <w:rsid w:val="69707BB8"/>
    <w:rsid w:val="69830C45"/>
    <w:rsid w:val="6997702B"/>
    <w:rsid w:val="69980A51"/>
    <w:rsid w:val="69C24755"/>
    <w:rsid w:val="69CC5FF9"/>
    <w:rsid w:val="69CD3A1A"/>
    <w:rsid w:val="69D52470"/>
    <w:rsid w:val="69E75D0B"/>
    <w:rsid w:val="69FF3C9E"/>
    <w:rsid w:val="6A254E7E"/>
    <w:rsid w:val="6A4F4FF7"/>
    <w:rsid w:val="6A8B2B4B"/>
    <w:rsid w:val="6A940DB2"/>
    <w:rsid w:val="6AA43001"/>
    <w:rsid w:val="6AB6429D"/>
    <w:rsid w:val="6AC05D2A"/>
    <w:rsid w:val="6AC2337D"/>
    <w:rsid w:val="6ADD14BE"/>
    <w:rsid w:val="6AE05DD0"/>
    <w:rsid w:val="6AE84A89"/>
    <w:rsid w:val="6AF0232F"/>
    <w:rsid w:val="6B176735"/>
    <w:rsid w:val="6B231F18"/>
    <w:rsid w:val="6B425032"/>
    <w:rsid w:val="6B984B07"/>
    <w:rsid w:val="6BA8467F"/>
    <w:rsid w:val="6BAC33A7"/>
    <w:rsid w:val="6BC8762F"/>
    <w:rsid w:val="6C0F60EB"/>
    <w:rsid w:val="6C220E71"/>
    <w:rsid w:val="6C6677AE"/>
    <w:rsid w:val="6C686F9E"/>
    <w:rsid w:val="6C8E3052"/>
    <w:rsid w:val="6CD6696A"/>
    <w:rsid w:val="6CDC5419"/>
    <w:rsid w:val="6CEC2ECB"/>
    <w:rsid w:val="6CF922E8"/>
    <w:rsid w:val="6D2178CF"/>
    <w:rsid w:val="6D3D4A03"/>
    <w:rsid w:val="6D4479A1"/>
    <w:rsid w:val="6D4C2938"/>
    <w:rsid w:val="6D4E5909"/>
    <w:rsid w:val="6D83095D"/>
    <w:rsid w:val="6D965DD8"/>
    <w:rsid w:val="6DAC3E8A"/>
    <w:rsid w:val="6DB125C3"/>
    <w:rsid w:val="6DB56522"/>
    <w:rsid w:val="6DB84ACD"/>
    <w:rsid w:val="6DB84C5A"/>
    <w:rsid w:val="6DE56920"/>
    <w:rsid w:val="6DFB2975"/>
    <w:rsid w:val="6DFF7532"/>
    <w:rsid w:val="6E065665"/>
    <w:rsid w:val="6E185BAE"/>
    <w:rsid w:val="6E657042"/>
    <w:rsid w:val="6E7D31A7"/>
    <w:rsid w:val="6E99550A"/>
    <w:rsid w:val="6EDA3F0A"/>
    <w:rsid w:val="6EEE6F99"/>
    <w:rsid w:val="6EF52BFE"/>
    <w:rsid w:val="6EFD42A1"/>
    <w:rsid w:val="6F197910"/>
    <w:rsid w:val="6F24542C"/>
    <w:rsid w:val="6F2C56EB"/>
    <w:rsid w:val="6F363954"/>
    <w:rsid w:val="6F6A3BC6"/>
    <w:rsid w:val="6F723239"/>
    <w:rsid w:val="6F8827D4"/>
    <w:rsid w:val="6F9848FD"/>
    <w:rsid w:val="6FAA6473"/>
    <w:rsid w:val="6FBB7239"/>
    <w:rsid w:val="6FE45A0F"/>
    <w:rsid w:val="701366A8"/>
    <w:rsid w:val="701F19C7"/>
    <w:rsid w:val="702A23CE"/>
    <w:rsid w:val="703140FC"/>
    <w:rsid w:val="704843EC"/>
    <w:rsid w:val="712C165B"/>
    <w:rsid w:val="716D13AB"/>
    <w:rsid w:val="71847F9E"/>
    <w:rsid w:val="719234BA"/>
    <w:rsid w:val="71A86C93"/>
    <w:rsid w:val="71EC68E7"/>
    <w:rsid w:val="71FA793B"/>
    <w:rsid w:val="72177478"/>
    <w:rsid w:val="7223505B"/>
    <w:rsid w:val="72363AB6"/>
    <w:rsid w:val="7241147C"/>
    <w:rsid w:val="72451EB2"/>
    <w:rsid w:val="7257143C"/>
    <w:rsid w:val="72581C7F"/>
    <w:rsid w:val="72606B73"/>
    <w:rsid w:val="726D06D9"/>
    <w:rsid w:val="72A43471"/>
    <w:rsid w:val="72B611FA"/>
    <w:rsid w:val="735E784C"/>
    <w:rsid w:val="73644E0A"/>
    <w:rsid w:val="737D1D83"/>
    <w:rsid w:val="737D52D9"/>
    <w:rsid w:val="738F5E6C"/>
    <w:rsid w:val="73F16B3C"/>
    <w:rsid w:val="74044B50"/>
    <w:rsid w:val="742F6106"/>
    <w:rsid w:val="744B4B94"/>
    <w:rsid w:val="7465191F"/>
    <w:rsid w:val="74794AA3"/>
    <w:rsid w:val="74B0580F"/>
    <w:rsid w:val="74D94537"/>
    <w:rsid w:val="753354F9"/>
    <w:rsid w:val="755460EB"/>
    <w:rsid w:val="75CE4524"/>
    <w:rsid w:val="75D06792"/>
    <w:rsid w:val="76012E52"/>
    <w:rsid w:val="762B0BC9"/>
    <w:rsid w:val="7633403A"/>
    <w:rsid w:val="76371BC7"/>
    <w:rsid w:val="765908D3"/>
    <w:rsid w:val="76844CDB"/>
    <w:rsid w:val="76A407DF"/>
    <w:rsid w:val="76B42985"/>
    <w:rsid w:val="77901841"/>
    <w:rsid w:val="77D43708"/>
    <w:rsid w:val="77D9168F"/>
    <w:rsid w:val="77DA5702"/>
    <w:rsid w:val="784975D7"/>
    <w:rsid w:val="787B07F9"/>
    <w:rsid w:val="788076A8"/>
    <w:rsid w:val="788778DD"/>
    <w:rsid w:val="78A31A58"/>
    <w:rsid w:val="78FA61B3"/>
    <w:rsid w:val="793813BC"/>
    <w:rsid w:val="793F6D6D"/>
    <w:rsid w:val="794F5E0C"/>
    <w:rsid w:val="79941677"/>
    <w:rsid w:val="79C24E98"/>
    <w:rsid w:val="79F34F9B"/>
    <w:rsid w:val="7A1610AF"/>
    <w:rsid w:val="7A5746D7"/>
    <w:rsid w:val="7A910195"/>
    <w:rsid w:val="7AA1761C"/>
    <w:rsid w:val="7AA30CEB"/>
    <w:rsid w:val="7ABA4D65"/>
    <w:rsid w:val="7ADC6C3C"/>
    <w:rsid w:val="7B0129ED"/>
    <w:rsid w:val="7B11339A"/>
    <w:rsid w:val="7B19341C"/>
    <w:rsid w:val="7B271DF8"/>
    <w:rsid w:val="7B50660A"/>
    <w:rsid w:val="7B5512E7"/>
    <w:rsid w:val="7B645DEA"/>
    <w:rsid w:val="7B6A18D0"/>
    <w:rsid w:val="7B6F44D4"/>
    <w:rsid w:val="7B98255D"/>
    <w:rsid w:val="7B9C1FCE"/>
    <w:rsid w:val="7BC77859"/>
    <w:rsid w:val="7C273DBB"/>
    <w:rsid w:val="7C370B7C"/>
    <w:rsid w:val="7C47322E"/>
    <w:rsid w:val="7C5413CB"/>
    <w:rsid w:val="7C73167B"/>
    <w:rsid w:val="7C934937"/>
    <w:rsid w:val="7C941469"/>
    <w:rsid w:val="7CB70A0B"/>
    <w:rsid w:val="7CCA6A86"/>
    <w:rsid w:val="7CCF54FA"/>
    <w:rsid w:val="7CD3076E"/>
    <w:rsid w:val="7CDD742C"/>
    <w:rsid w:val="7D2E363F"/>
    <w:rsid w:val="7D3F26F0"/>
    <w:rsid w:val="7D5709E4"/>
    <w:rsid w:val="7D686752"/>
    <w:rsid w:val="7D8D3D37"/>
    <w:rsid w:val="7DB03F5E"/>
    <w:rsid w:val="7DE46E5E"/>
    <w:rsid w:val="7E275A02"/>
    <w:rsid w:val="7E2860C6"/>
    <w:rsid w:val="7E806807"/>
    <w:rsid w:val="7E9A34DB"/>
    <w:rsid w:val="7EAC2AA7"/>
    <w:rsid w:val="7ECA716A"/>
    <w:rsid w:val="7ED81FA8"/>
    <w:rsid w:val="7EEE0056"/>
    <w:rsid w:val="7F2117C8"/>
    <w:rsid w:val="7F843A0F"/>
    <w:rsid w:val="7FE0148F"/>
    <w:rsid w:val="7FFC4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Plain Text"/>
    <w:basedOn w:val="1"/>
    <w:link w:val="28"/>
    <w:qFormat/>
    <w:uiPriority w:val="0"/>
    <w:rPr>
      <w:rFonts w:ascii="宋体" w:hAnsi="Courier New" w:eastAsia="宋体" w:cs="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8"/>
    <w:semiHidden/>
    <w:unhideWhenUsed/>
    <w:qFormat/>
    <w:uiPriority w:val="99"/>
    <w:rPr>
      <w:b/>
      <w:bCs/>
    </w:r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文字 Char"/>
    <w:basedOn w:val="12"/>
    <w:link w:val="4"/>
    <w:semiHidden/>
    <w:qFormat/>
    <w:uiPriority w:val="99"/>
  </w:style>
  <w:style w:type="character" w:customStyle="1" w:styleId="18">
    <w:name w:val="批注主题 Char"/>
    <w:basedOn w:val="17"/>
    <w:link w:val="10"/>
    <w:semiHidden/>
    <w:qFormat/>
    <w:uiPriority w:val="99"/>
    <w:rPr>
      <w:b/>
      <w:bCs/>
    </w:rPr>
  </w:style>
  <w:style w:type="character" w:customStyle="1" w:styleId="19">
    <w:name w:val="批注框文本 Char"/>
    <w:basedOn w:val="12"/>
    <w:link w:val="6"/>
    <w:semiHidden/>
    <w:qFormat/>
    <w:uiPriority w:val="99"/>
    <w:rPr>
      <w:sz w:val="18"/>
      <w:szCs w:val="18"/>
    </w:rPr>
  </w:style>
  <w:style w:type="paragraph" w:customStyle="1" w:styleId="20">
    <w:name w:val="段"/>
    <w:link w:val="2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21">
    <w:name w:val="段 Char"/>
    <w:link w:val="20"/>
    <w:qFormat/>
    <w:uiPriority w:val="0"/>
    <w:rPr>
      <w:rFonts w:ascii="宋体" w:hAnsi="Calibri" w:eastAsia="宋体" w:cs="Times New Roman"/>
      <w:kern w:val="0"/>
    </w:rPr>
  </w:style>
  <w:style w:type="character" w:customStyle="1" w:styleId="22">
    <w:name w:val="一级条标题 Char"/>
    <w:link w:val="23"/>
    <w:qFormat/>
    <w:uiPriority w:val="0"/>
    <w:rPr>
      <w:rFonts w:eastAsia="黑体"/>
    </w:rPr>
  </w:style>
  <w:style w:type="paragraph" w:customStyle="1" w:styleId="23">
    <w:name w:val="一级条标题"/>
    <w:next w:val="20"/>
    <w:link w:val="22"/>
    <w:qFormat/>
    <w:uiPriority w:val="0"/>
    <w:pPr>
      <w:tabs>
        <w:tab w:val="left" w:pos="360"/>
      </w:tabs>
      <w:outlineLvl w:val="2"/>
    </w:pPr>
    <w:rPr>
      <w:rFonts w:eastAsia="黑体" w:asciiTheme="minorHAnsi" w:hAnsiTheme="minorHAnsi" w:cstheme="minorBidi"/>
      <w:kern w:val="2"/>
      <w:sz w:val="21"/>
      <w:szCs w:val="22"/>
      <w:lang w:val="en-US" w:eastAsia="zh-CN" w:bidi="ar-SA"/>
    </w:rPr>
  </w:style>
  <w:style w:type="character" w:customStyle="1" w:styleId="24">
    <w:name w:val="标题 1 Char"/>
    <w:basedOn w:val="12"/>
    <w:link w:val="2"/>
    <w:qFormat/>
    <w:uiPriority w:val="9"/>
    <w:rPr>
      <w:rFonts w:ascii="宋体" w:hAnsi="宋体" w:eastAsia="宋体" w:cs="宋体"/>
      <w:b/>
      <w:bCs/>
      <w:kern w:val="36"/>
      <w:sz w:val="48"/>
      <w:szCs w:val="48"/>
    </w:rPr>
  </w:style>
  <w:style w:type="paragraph" w:customStyle="1" w:styleId="25">
    <w:name w:val="附录标识"/>
    <w:basedOn w:val="1"/>
    <w:qFormat/>
    <w:uiPriority w:val="0"/>
    <w:pPr>
      <w:widowControl/>
      <w:shd w:val="clear" w:color="FFFFFF" w:fill="FFFFFF"/>
      <w:tabs>
        <w:tab w:val="left" w:pos="720"/>
        <w:tab w:val="left" w:pos="6405"/>
      </w:tabs>
      <w:spacing w:before="640" w:after="200"/>
      <w:ind w:left="720" w:hanging="720"/>
      <w:jc w:val="center"/>
      <w:outlineLvl w:val="0"/>
    </w:pPr>
    <w:rPr>
      <w:rFonts w:ascii="黑体" w:hAnsi="Times New Roman" w:eastAsia="黑体" w:cs="Times New Roman"/>
      <w:kern w:val="0"/>
      <w:szCs w:val="20"/>
    </w:rPr>
  </w:style>
  <w:style w:type="character" w:customStyle="1" w:styleId="26">
    <w:name w:val="一级条标题 Char Char"/>
    <w:qFormat/>
    <w:uiPriority w:val="0"/>
    <w:rPr>
      <w:rFonts w:eastAsia="黑体"/>
      <w:kern w:val="2"/>
      <w:sz w:val="21"/>
      <w:lang w:val="en-US" w:eastAsia="zh-CN" w:bidi="ar-SA"/>
    </w:rPr>
  </w:style>
  <w:style w:type="paragraph" w:styleId="27">
    <w:name w:val="List Paragraph"/>
    <w:basedOn w:val="1"/>
    <w:qFormat/>
    <w:uiPriority w:val="34"/>
    <w:pPr>
      <w:ind w:firstLine="420" w:firstLineChars="200"/>
    </w:pPr>
  </w:style>
  <w:style w:type="character" w:customStyle="1" w:styleId="28">
    <w:name w:val="纯文本 Char"/>
    <w:basedOn w:val="12"/>
    <w:link w:val="5"/>
    <w:qFormat/>
    <w:uiPriority w:val="0"/>
    <w:rPr>
      <w:rFonts w:ascii="宋体" w:hAnsi="Courier New" w:eastAsia="宋体" w:cs="Courier New"/>
      <w:szCs w:val="21"/>
    </w:rPr>
  </w:style>
  <w:style w:type="character" w:customStyle="1" w:styleId="29">
    <w:name w:val="标题 2 Char"/>
    <w:basedOn w:val="12"/>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DD8A-A29E-45DB-A14E-CE197AFC71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3207</Words>
  <Characters>18285</Characters>
  <Lines>152</Lines>
  <Paragraphs>42</Paragraphs>
  <TotalTime>15</TotalTime>
  <ScaleCrop>false</ScaleCrop>
  <LinksUpToDate>false</LinksUpToDate>
  <CharactersWithSpaces>21450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2019-12-31T07:59:00Z</dcterms:created>
  <dc:creator>Jiangcy</dc:creator>
  <cp:lastModifiedBy>芬芬今天上王者了吗</cp:lastModifiedBy>
  <cp:lastPrinted>2019-12-22T02:29:00Z</cp:lastPrinted>
  <dcterms:modified xsi:type="dcterms:W3CDTF">2021-09-06T02:11:38Z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2E0C1A2B5A5B4720B269BA9B24064F66</vt:lpwstr>
  </property>
</Properties>
</file>